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E5" w:rsidRPr="00D25D37" w:rsidRDefault="00D143E5" w:rsidP="00E927E0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D25D37">
        <w:rPr>
          <w:b/>
          <w:color w:val="000000"/>
          <w:sz w:val="28"/>
          <w:szCs w:val="28"/>
          <w:lang w:val="uk-UA"/>
        </w:rPr>
        <w:t>Підсумки роботи</w:t>
      </w:r>
    </w:p>
    <w:p w:rsidR="00D143E5" w:rsidRPr="00D25D37" w:rsidRDefault="00A05213" w:rsidP="000B284C">
      <w:pPr>
        <w:jc w:val="center"/>
        <w:rPr>
          <w:b/>
          <w:color w:val="000000"/>
          <w:sz w:val="28"/>
          <w:szCs w:val="28"/>
          <w:lang w:val="uk-UA"/>
        </w:rPr>
      </w:pPr>
      <w:r w:rsidRPr="00D25D37">
        <w:rPr>
          <w:b/>
          <w:color w:val="000000"/>
          <w:sz w:val="28"/>
          <w:szCs w:val="28"/>
          <w:lang w:val="uk-UA"/>
        </w:rPr>
        <w:t xml:space="preserve">управління </w:t>
      </w:r>
      <w:r w:rsidR="00D143E5" w:rsidRPr="00D25D37">
        <w:rPr>
          <w:b/>
          <w:color w:val="000000"/>
          <w:sz w:val="28"/>
          <w:szCs w:val="28"/>
          <w:lang w:val="uk-UA"/>
        </w:rPr>
        <w:t xml:space="preserve"> за </w:t>
      </w:r>
      <w:r w:rsidR="00F173BF">
        <w:rPr>
          <w:b/>
          <w:color w:val="000000"/>
          <w:sz w:val="28"/>
          <w:szCs w:val="28"/>
          <w:lang w:val="uk-UA"/>
        </w:rPr>
        <w:t xml:space="preserve"> </w:t>
      </w:r>
      <w:r w:rsidR="00B32163" w:rsidRPr="00D25D37">
        <w:rPr>
          <w:b/>
          <w:color w:val="000000"/>
          <w:sz w:val="28"/>
          <w:szCs w:val="28"/>
          <w:lang w:val="uk-UA"/>
        </w:rPr>
        <w:t>201</w:t>
      </w:r>
      <w:r w:rsidR="005C5995">
        <w:rPr>
          <w:b/>
          <w:color w:val="000000"/>
          <w:sz w:val="28"/>
          <w:szCs w:val="28"/>
          <w:lang w:val="uk-UA"/>
        </w:rPr>
        <w:t>6</w:t>
      </w:r>
      <w:r w:rsidR="00B32163" w:rsidRPr="00D25D37">
        <w:rPr>
          <w:b/>
          <w:color w:val="000000"/>
          <w:sz w:val="28"/>
          <w:szCs w:val="28"/>
          <w:lang w:val="uk-UA"/>
        </w:rPr>
        <w:t xml:space="preserve"> р</w:t>
      </w:r>
      <w:r w:rsidR="00741BB0">
        <w:rPr>
          <w:b/>
          <w:color w:val="000000"/>
          <w:sz w:val="28"/>
          <w:szCs w:val="28"/>
          <w:lang w:val="uk-UA"/>
        </w:rPr>
        <w:t>ік</w:t>
      </w:r>
    </w:p>
    <w:p w:rsidR="00A05213" w:rsidRPr="00D25D37" w:rsidRDefault="00A05213" w:rsidP="00D143E5">
      <w:pPr>
        <w:jc w:val="center"/>
        <w:rPr>
          <w:b/>
          <w:color w:val="000000"/>
          <w:sz w:val="28"/>
          <w:szCs w:val="28"/>
          <w:lang w:val="uk-UA"/>
        </w:rPr>
      </w:pPr>
    </w:p>
    <w:p w:rsidR="00FF12A7" w:rsidRPr="001C43C5" w:rsidRDefault="00FF12A7" w:rsidP="00FF12A7">
      <w:pPr>
        <w:jc w:val="both"/>
        <w:rPr>
          <w:sz w:val="26"/>
          <w:szCs w:val="26"/>
          <w:lang w:val="uk-UA"/>
        </w:rPr>
      </w:pPr>
      <w:r w:rsidRPr="001C43C5">
        <w:rPr>
          <w:sz w:val="28"/>
          <w:szCs w:val="28"/>
          <w:lang w:val="uk-UA"/>
        </w:rPr>
        <w:t xml:space="preserve">          </w:t>
      </w:r>
      <w:r w:rsidRPr="001C43C5">
        <w:rPr>
          <w:sz w:val="26"/>
          <w:szCs w:val="26"/>
          <w:lang w:val="uk-UA"/>
        </w:rPr>
        <w:t xml:space="preserve">Робота управління </w:t>
      </w:r>
      <w:r w:rsidR="00EC0371">
        <w:rPr>
          <w:sz w:val="26"/>
          <w:szCs w:val="26"/>
          <w:lang w:val="uk-UA"/>
        </w:rPr>
        <w:t>протягом</w:t>
      </w:r>
      <w:r w:rsidR="00765DB6" w:rsidRPr="001C43C5">
        <w:rPr>
          <w:sz w:val="26"/>
          <w:szCs w:val="26"/>
          <w:lang w:val="uk-UA"/>
        </w:rPr>
        <w:t xml:space="preserve">  201</w:t>
      </w:r>
      <w:r w:rsidR="005C5995">
        <w:rPr>
          <w:sz w:val="26"/>
          <w:szCs w:val="26"/>
          <w:lang w:val="uk-UA"/>
        </w:rPr>
        <w:t>6</w:t>
      </w:r>
      <w:r w:rsidR="00765DB6" w:rsidRPr="001C43C5">
        <w:rPr>
          <w:sz w:val="26"/>
          <w:szCs w:val="26"/>
          <w:lang w:val="uk-UA"/>
        </w:rPr>
        <w:t xml:space="preserve"> року </w:t>
      </w:r>
      <w:r w:rsidRPr="001C43C5">
        <w:rPr>
          <w:sz w:val="26"/>
          <w:szCs w:val="26"/>
          <w:lang w:val="uk-UA"/>
        </w:rPr>
        <w:t xml:space="preserve"> була спрямована на реалізацію основних пріоритетів діяльності  Пенсійного фонду та  підвищення  якості обслуговування громадян з усіх питань пенсійного забезпечення. </w:t>
      </w:r>
    </w:p>
    <w:p w:rsidR="00FF12A7" w:rsidRDefault="00A72719" w:rsidP="00FF12A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FF12A7" w:rsidRPr="001C43C5">
        <w:rPr>
          <w:sz w:val="26"/>
          <w:szCs w:val="26"/>
          <w:lang w:val="uk-UA"/>
        </w:rPr>
        <w:t>Протягом звітного періоду забезпечено виконання планових показників надходжень до бюджету Фонду, стале та своєчасне фінансування виплат пенсій.</w:t>
      </w:r>
    </w:p>
    <w:p w:rsidR="00A72719" w:rsidRPr="001C43C5" w:rsidRDefault="00A72719" w:rsidP="00A72719">
      <w:pPr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1C43C5">
        <w:rPr>
          <w:sz w:val="26"/>
          <w:szCs w:val="26"/>
          <w:lang w:val="uk-UA"/>
        </w:rPr>
        <w:t xml:space="preserve">Управлінням забезпечено  виконання планових  показників по надходженню   страхових   внесків  на </w:t>
      </w:r>
      <w:r w:rsidR="007073FF">
        <w:rPr>
          <w:sz w:val="26"/>
          <w:szCs w:val="26"/>
          <w:lang w:val="uk-UA"/>
        </w:rPr>
        <w:t>1</w:t>
      </w:r>
      <w:r w:rsidR="00741BB0">
        <w:rPr>
          <w:sz w:val="26"/>
          <w:szCs w:val="26"/>
          <w:lang w:val="uk-UA"/>
        </w:rPr>
        <w:t>55,1</w:t>
      </w:r>
      <w:r w:rsidRPr="001C43C5">
        <w:rPr>
          <w:sz w:val="26"/>
          <w:szCs w:val="26"/>
          <w:lang w:val="uk-UA"/>
        </w:rPr>
        <w:t xml:space="preserve"> %. При плані  </w:t>
      </w:r>
      <w:r w:rsidR="00741BB0">
        <w:rPr>
          <w:sz w:val="26"/>
          <w:szCs w:val="26"/>
          <w:lang w:val="uk-UA"/>
        </w:rPr>
        <w:t>385,2</w:t>
      </w:r>
      <w:r w:rsidRPr="001C43C5">
        <w:rPr>
          <w:sz w:val="26"/>
          <w:szCs w:val="26"/>
          <w:lang w:val="uk-UA"/>
        </w:rPr>
        <w:t xml:space="preserve"> тис. грн., фактично надійшло до бюджету  управління </w:t>
      </w:r>
      <w:r w:rsidR="00741BB0">
        <w:rPr>
          <w:sz w:val="26"/>
          <w:szCs w:val="26"/>
          <w:lang w:val="uk-UA"/>
        </w:rPr>
        <w:t>597,2</w:t>
      </w:r>
      <w:r w:rsidRPr="001C43C5">
        <w:rPr>
          <w:sz w:val="26"/>
          <w:szCs w:val="26"/>
          <w:lang w:val="uk-UA"/>
        </w:rPr>
        <w:t xml:space="preserve"> тис. грн..</w:t>
      </w:r>
    </w:p>
    <w:p w:rsidR="00A72719" w:rsidRPr="001C43C5" w:rsidRDefault="00A72719" w:rsidP="00A72719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 </w:t>
      </w:r>
      <w:r w:rsidR="008E4F22">
        <w:rPr>
          <w:sz w:val="26"/>
          <w:szCs w:val="26"/>
          <w:lang w:val="uk-UA"/>
        </w:rPr>
        <w:t xml:space="preserve"> </w:t>
      </w:r>
      <w:r w:rsidRPr="001C43C5">
        <w:rPr>
          <w:sz w:val="26"/>
          <w:szCs w:val="26"/>
          <w:lang w:val="uk-UA"/>
        </w:rPr>
        <w:t>Основними  джерелами, за якими забезпечено  надходження до  бюджету Пенсійного фонду  є:</w:t>
      </w:r>
    </w:p>
    <w:p w:rsidR="00741BB0" w:rsidRDefault="00A72719" w:rsidP="00A72719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 </w:t>
      </w:r>
      <w:r w:rsidR="008E4F22">
        <w:rPr>
          <w:sz w:val="26"/>
          <w:szCs w:val="26"/>
          <w:lang w:val="uk-UA"/>
        </w:rPr>
        <w:t xml:space="preserve"> </w:t>
      </w:r>
      <w:r w:rsidRPr="00D20C2E">
        <w:rPr>
          <w:sz w:val="26"/>
          <w:szCs w:val="26"/>
          <w:lang w:val="uk-UA"/>
        </w:rPr>
        <w:t xml:space="preserve">   </w:t>
      </w:r>
      <w:r w:rsidR="008E4F22">
        <w:rPr>
          <w:sz w:val="26"/>
          <w:szCs w:val="26"/>
          <w:lang w:val="uk-UA"/>
        </w:rPr>
        <w:t xml:space="preserve"> </w:t>
      </w:r>
      <w:r w:rsidRPr="00D20C2E">
        <w:rPr>
          <w:sz w:val="26"/>
          <w:szCs w:val="26"/>
          <w:lang w:val="uk-UA"/>
        </w:rPr>
        <w:t xml:space="preserve">- відшкодування   фактичних витрат  на виплату пенсій, призначених на пільгових умовах –  </w:t>
      </w:r>
      <w:r w:rsidR="00741BB0">
        <w:rPr>
          <w:sz w:val="26"/>
          <w:szCs w:val="26"/>
          <w:lang w:val="uk-UA"/>
        </w:rPr>
        <w:t>371,1</w:t>
      </w:r>
      <w:r w:rsidRPr="00D20C2E">
        <w:rPr>
          <w:sz w:val="26"/>
          <w:szCs w:val="26"/>
          <w:lang w:val="uk-UA"/>
        </w:rPr>
        <w:t xml:space="preserve">  тис. </w:t>
      </w:r>
      <w:proofErr w:type="spellStart"/>
      <w:r w:rsidRPr="00D20C2E">
        <w:rPr>
          <w:sz w:val="26"/>
          <w:szCs w:val="26"/>
          <w:lang w:val="uk-UA"/>
        </w:rPr>
        <w:t>грн</w:t>
      </w:r>
      <w:proofErr w:type="spellEnd"/>
      <w:r w:rsidRPr="00D20C2E">
        <w:rPr>
          <w:sz w:val="26"/>
          <w:szCs w:val="26"/>
          <w:lang w:val="uk-UA"/>
        </w:rPr>
        <w:t>;  ;</w:t>
      </w:r>
      <w:r w:rsidR="00741BB0" w:rsidRPr="00741BB0">
        <w:rPr>
          <w:sz w:val="26"/>
          <w:szCs w:val="26"/>
          <w:lang w:val="uk-UA"/>
        </w:rPr>
        <w:t xml:space="preserve"> </w:t>
      </w:r>
    </w:p>
    <w:p w:rsidR="00A72719" w:rsidRPr="00D20C2E" w:rsidRDefault="00741BB0" w:rsidP="00A72719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D20C2E">
        <w:rPr>
          <w:sz w:val="26"/>
          <w:szCs w:val="26"/>
          <w:lang w:val="uk-UA"/>
        </w:rPr>
        <w:t xml:space="preserve">- надходження  власних коштів від погашення заборгованості   суб’єктами господарювання  по сплаті страхових внесків –  </w:t>
      </w:r>
      <w:r>
        <w:rPr>
          <w:sz w:val="26"/>
          <w:szCs w:val="26"/>
          <w:lang w:val="uk-UA"/>
        </w:rPr>
        <w:t>11,5</w:t>
      </w:r>
      <w:r w:rsidRPr="00D20C2E">
        <w:rPr>
          <w:sz w:val="26"/>
          <w:szCs w:val="26"/>
          <w:lang w:val="uk-UA"/>
        </w:rPr>
        <w:t xml:space="preserve"> тис. </w:t>
      </w:r>
      <w:proofErr w:type="spellStart"/>
      <w:r w:rsidRPr="00D20C2E">
        <w:rPr>
          <w:sz w:val="26"/>
          <w:szCs w:val="26"/>
          <w:lang w:val="uk-UA"/>
        </w:rPr>
        <w:t>грн</w:t>
      </w:r>
      <w:proofErr w:type="spellEnd"/>
      <w:r w:rsidRPr="00D20C2E">
        <w:rPr>
          <w:sz w:val="26"/>
          <w:szCs w:val="26"/>
          <w:lang w:val="uk-UA"/>
        </w:rPr>
        <w:t xml:space="preserve">;  </w:t>
      </w:r>
    </w:p>
    <w:p w:rsidR="00A72719" w:rsidRDefault="00A72719" w:rsidP="00DB7A03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 w:rsidRPr="00D20C2E">
        <w:rPr>
          <w:sz w:val="26"/>
          <w:szCs w:val="26"/>
          <w:lang w:val="uk-UA"/>
        </w:rPr>
        <w:t xml:space="preserve">   </w:t>
      </w:r>
      <w:r w:rsidR="008E4F22">
        <w:rPr>
          <w:sz w:val="26"/>
          <w:szCs w:val="26"/>
          <w:lang w:val="uk-UA"/>
        </w:rPr>
        <w:t xml:space="preserve"> </w:t>
      </w:r>
      <w:r w:rsidR="00DB7A03">
        <w:rPr>
          <w:sz w:val="26"/>
          <w:szCs w:val="26"/>
          <w:lang w:val="uk-UA"/>
        </w:rPr>
        <w:t>-</w:t>
      </w:r>
      <w:r w:rsidRPr="00D20C2E">
        <w:rPr>
          <w:sz w:val="26"/>
          <w:szCs w:val="26"/>
          <w:lang w:val="uk-UA"/>
        </w:rPr>
        <w:t xml:space="preserve"> інших джерел надходжень –  </w:t>
      </w:r>
      <w:r w:rsidR="00243F91">
        <w:rPr>
          <w:sz w:val="26"/>
          <w:szCs w:val="26"/>
          <w:lang w:val="uk-UA"/>
        </w:rPr>
        <w:t>214,6</w:t>
      </w:r>
      <w:r w:rsidRPr="00D20C2E">
        <w:rPr>
          <w:sz w:val="26"/>
          <w:szCs w:val="26"/>
          <w:lang w:val="uk-UA"/>
        </w:rPr>
        <w:t xml:space="preserve"> тис. </w:t>
      </w:r>
      <w:proofErr w:type="spellStart"/>
      <w:r w:rsidRPr="00D20C2E">
        <w:rPr>
          <w:sz w:val="26"/>
          <w:szCs w:val="26"/>
          <w:lang w:val="uk-UA"/>
        </w:rPr>
        <w:t>грн</w:t>
      </w:r>
      <w:proofErr w:type="spellEnd"/>
      <w:r w:rsidRPr="00D20C2E">
        <w:rPr>
          <w:sz w:val="26"/>
          <w:szCs w:val="26"/>
          <w:lang w:val="uk-UA"/>
        </w:rPr>
        <w:t xml:space="preserve"> .    </w:t>
      </w:r>
    </w:p>
    <w:p w:rsidR="00610ABC" w:rsidRDefault="00610ABC" w:rsidP="00A72719">
      <w:pPr>
        <w:ind w:firstLine="567"/>
        <w:jc w:val="both"/>
        <w:rPr>
          <w:sz w:val="26"/>
          <w:szCs w:val="26"/>
          <w:lang w:val="uk-UA"/>
        </w:rPr>
      </w:pPr>
    </w:p>
    <w:p w:rsidR="00610ABC" w:rsidRPr="001C43C5" w:rsidRDefault="00610ABC" w:rsidP="00610ABC">
      <w:pPr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            </w:t>
      </w:r>
      <w:r w:rsidRPr="001C43C5">
        <w:rPr>
          <w:b/>
          <w:sz w:val="26"/>
          <w:szCs w:val="26"/>
          <w:lang w:val="uk-UA"/>
        </w:rPr>
        <w:t>Питома вага  надходжень за  основними джерелами, тис. грн</w:t>
      </w:r>
      <w:r w:rsidRPr="001C43C5">
        <w:rPr>
          <w:sz w:val="26"/>
          <w:szCs w:val="26"/>
          <w:lang w:val="uk-UA"/>
        </w:rPr>
        <w:t>.</w:t>
      </w:r>
    </w:p>
    <w:p w:rsidR="00610ABC" w:rsidRPr="001C43C5" w:rsidRDefault="00E927E0" w:rsidP="00610ABC">
      <w:pPr>
        <w:ind w:firstLine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20574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0ABC" w:rsidRPr="001C43C5" w:rsidRDefault="00610ABC" w:rsidP="00A72719">
      <w:pPr>
        <w:ind w:firstLine="567"/>
        <w:jc w:val="both"/>
        <w:rPr>
          <w:sz w:val="26"/>
          <w:szCs w:val="26"/>
          <w:lang w:val="uk-UA"/>
        </w:rPr>
      </w:pPr>
    </w:p>
    <w:p w:rsidR="00AC3D0D" w:rsidRPr="00655976" w:rsidRDefault="00AC3D0D" w:rsidP="00AC3D0D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655976">
        <w:rPr>
          <w:sz w:val="26"/>
          <w:szCs w:val="26"/>
          <w:lang w:val="uk-UA"/>
        </w:rPr>
        <w:t>Заборгованість платників  по внескам на загальнообов’язкове  державне пенсійне  страхування   на 01.</w:t>
      </w:r>
      <w:r w:rsidR="00175FBD">
        <w:rPr>
          <w:sz w:val="26"/>
          <w:szCs w:val="26"/>
          <w:lang w:val="uk-UA"/>
        </w:rPr>
        <w:t>01</w:t>
      </w:r>
      <w:r w:rsidRPr="00655976">
        <w:rPr>
          <w:sz w:val="26"/>
          <w:szCs w:val="26"/>
          <w:lang w:val="uk-UA"/>
        </w:rPr>
        <w:t>.201</w:t>
      </w:r>
      <w:r w:rsidR="00175FBD">
        <w:rPr>
          <w:sz w:val="26"/>
          <w:szCs w:val="26"/>
          <w:lang w:val="uk-UA"/>
        </w:rPr>
        <w:t>7</w:t>
      </w:r>
      <w:r w:rsidRPr="00655976">
        <w:rPr>
          <w:sz w:val="26"/>
          <w:szCs w:val="26"/>
          <w:lang w:val="uk-UA"/>
        </w:rPr>
        <w:t xml:space="preserve"> року  мають 1</w:t>
      </w:r>
      <w:r w:rsidR="00F60006">
        <w:rPr>
          <w:sz w:val="26"/>
          <w:szCs w:val="26"/>
          <w:lang w:val="uk-UA"/>
        </w:rPr>
        <w:t>4</w:t>
      </w:r>
      <w:r w:rsidRPr="00655976">
        <w:rPr>
          <w:sz w:val="26"/>
          <w:szCs w:val="26"/>
          <w:lang w:val="uk-UA"/>
        </w:rPr>
        <w:t xml:space="preserve"> суб’єктів господарювання   на загальну суму  </w:t>
      </w:r>
      <w:r w:rsidR="007073FF">
        <w:rPr>
          <w:sz w:val="26"/>
          <w:szCs w:val="26"/>
          <w:lang w:val="uk-UA"/>
        </w:rPr>
        <w:t>70</w:t>
      </w:r>
      <w:r w:rsidR="00175FBD">
        <w:rPr>
          <w:sz w:val="26"/>
          <w:szCs w:val="26"/>
          <w:lang w:val="uk-UA"/>
        </w:rPr>
        <w:t>5,7</w:t>
      </w:r>
      <w:r w:rsidRPr="00655976">
        <w:rPr>
          <w:sz w:val="26"/>
          <w:szCs w:val="26"/>
          <w:lang w:val="uk-UA"/>
        </w:rPr>
        <w:t xml:space="preserve"> тис. грн. </w:t>
      </w:r>
    </w:p>
    <w:p w:rsidR="00AC3D0D" w:rsidRPr="001C43C5" w:rsidRDefault="00AC3D0D" w:rsidP="00AC3D0D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Вся  сума боргу  охоплена заходами  стягнення.</w:t>
      </w:r>
    </w:p>
    <w:p w:rsidR="00AC3D0D" w:rsidRPr="001C43C5" w:rsidRDefault="00AC3D0D" w:rsidP="00AC3D0D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В структурі боргу  заборгованість  2-х  підприємств - банкрутів, які перебувають у стадії ліквідації  (СТОВ «</w:t>
      </w:r>
      <w:proofErr w:type="spellStart"/>
      <w:r w:rsidRPr="001C43C5">
        <w:rPr>
          <w:sz w:val="26"/>
          <w:szCs w:val="26"/>
          <w:lang w:val="uk-UA"/>
        </w:rPr>
        <w:t>Агростар</w:t>
      </w:r>
      <w:proofErr w:type="spellEnd"/>
      <w:r w:rsidRPr="001C43C5">
        <w:rPr>
          <w:sz w:val="26"/>
          <w:szCs w:val="26"/>
          <w:lang w:val="uk-UA"/>
        </w:rPr>
        <w:t>», САТП-0305) складає 7</w:t>
      </w:r>
      <w:r w:rsidR="007073FF">
        <w:rPr>
          <w:sz w:val="26"/>
          <w:szCs w:val="26"/>
          <w:lang w:val="uk-UA"/>
        </w:rPr>
        <w:t>1</w:t>
      </w:r>
      <w:r w:rsidR="00203AFA">
        <w:rPr>
          <w:sz w:val="26"/>
          <w:szCs w:val="26"/>
          <w:lang w:val="uk-UA"/>
        </w:rPr>
        <w:t>,</w:t>
      </w:r>
      <w:r w:rsidR="00175FBD">
        <w:rPr>
          <w:sz w:val="26"/>
          <w:szCs w:val="26"/>
          <w:lang w:val="uk-UA"/>
        </w:rPr>
        <w:t>8</w:t>
      </w:r>
      <w:r w:rsidR="00795E7D">
        <w:rPr>
          <w:sz w:val="26"/>
          <w:szCs w:val="26"/>
          <w:lang w:val="uk-UA"/>
        </w:rPr>
        <w:t xml:space="preserve"> </w:t>
      </w:r>
      <w:r w:rsidRPr="001C43C5">
        <w:rPr>
          <w:sz w:val="26"/>
          <w:szCs w:val="26"/>
          <w:lang w:val="uk-UA"/>
        </w:rPr>
        <w:t xml:space="preserve">% (506,6 тис. грн.). </w:t>
      </w:r>
    </w:p>
    <w:p w:rsidR="00AC3D0D" w:rsidRPr="001C43C5" w:rsidRDefault="00203AFA" w:rsidP="00AC3D0D">
      <w:pPr>
        <w:tabs>
          <w:tab w:val="left" w:pos="567"/>
        </w:tabs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2</w:t>
      </w:r>
      <w:r w:rsidR="00A4191E">
        <w:rPr>
          <w:sz w:val="26"/>
          <w:szCs w:val="26"/>
          <w:lang w:val="uk-UA"/>
        </w:rPr>
        <w:t>5</w:t>
      </w:r>
      <w:r w:rsidR="00795E7D">
        <w:rPr>
          <w:sz w:val="26"/>
          <w:szCs w:val="26"/>
          <w:lang w:val="uk-UA"/>
        </w:rPr>
        <w:t>,</w:t>
      </w:r>
      <w:r w:rsidR="00175FBD">
        <w:rPr>
          <w:sz w:val="26"/>
          <w:szCs w:val="26"/>
          <w:lang w:val="uk-UA"/>
        </w:rPr>
        <w:t>8</w:t>
      </w:r>
      <w:r w:rsidR="00795E7D">
        <w:rPr>
          <w:sz w:val="26"/>
          <w:szCs w:val="26"/>
          <w:lang w:val="uk-UA"/>
        </w:rPr>
        <w:t xml:space="preserve"> </w:t>
      </w:r>
      <w:r w:rsidR="00AC3D0D" w:rsidRPr="001C43C5">
        <w:rPr>
          <w:sz w:val="26"/>
          <w:szCs w:val="26"/>
          <w:lang w:val="uk-UA"/>
        </w:rPr>
        <w:t>% ( або 1</w:t>
      </w:r>
      <w:r>
        <w:rPr>
          <w:sz w:val="26"/>
          <w:szCs w:val="26"/>
          <w:lang w:val="uk-UA"/>
        </w:rPr>
        <w:t>8</w:t>
      </w:r>
      <w:r w:rsidR="00EA2B58">
        <w:rPr>
          <w:sz w:val="26"/>
          <w:szCs w:val="26"/>
          <w:lang w:val="uk-UA"/>
        </w:rPr>
        <w:t>2</w:t>
      </w:r>
      <w:r w:rsidR="007073FF">
        <w:rPr>
          <w:sz w:val="26"/>
          <w:szCs w:val="26"/>
          <w:lang w:val="uk-UA"/>
        </w:rPr>
        <w:t>,1</w:t>
      </w:r>
      <w:r w:rsidR="00AC3D0D" w:rsidRPr="001C43C5">
        <w:rPr>
          <w:sz w:val="26"/>
          <w:szCs w:val="26"/>
          <w:lang w:val="uk-UA"/>
        </w:rPr>
        <w:t xml:space="preserve"> тис. грн.) – безнадійний борг 3-х підприємств, які не мають  активів для погашення – (ФГ«Надія»,</w:t>
      </w:r>
      <w:r w:rsidR="004E72A0">
        <w:rPr>
          <w:sz w:val="26"/>
          <w:szCs w:val="26"/>
          <w:lang w:val="uk-UA"/>
        </w:rPr>
        <w:t xml:space="preserve"> ТОВ</w:t>
      </w:r>
      <w:r w:rsidR="00AC3D0D" w:rsidRPr="001C43C5">
        <w:rPr>
          <w:sz w:val="26"/>
          <w:szCs w:val="26"/>
          <w:lang w:val="uk-UA"/>
        </w:rPr>
        <w:t xml:space="preserve"> «</w:t>
      </w:r>
      <w:proofErr w:type="spellStart"/>
      <w:r w:rsidR="00AC3D0D" w:rsidRPr="001C43C5">
        <w:rPr>
          <w:sz w:val="26"/>
          <w:szCs w:val="26"/>
          <w:lang w:val="uk-UA"/>
        </w:rPr>
        <w:t>Райсількомунгосп</w:t>
      </w:r>
      <w:proofErr w:type="spellEnd"/>
      <w:r w:rsidR="00AC3D0D" w:rsidRPr="001C43C5">
        <w:rPr>
          <w:sz w:val="26"/>
          <w:szCs w:val="26"/>
          <w:lang w:val="uk-UA"/>
        </w:rPr>
        <w:t>», ТОВ «ПМК-23»)</w:t>
      </w:r>
      <w:r w:rsidR="007073FF">
        <w:rPr>
          <w:sz w:val="26"/>
          <w:szCs w:val="26"/>
          <w:lang w:val="uk-UA"/>
        </w:rPr>
        <w:t xml:space="preserve"> та </w:t>
      </w:r>
      <w:r w:rsidR="002B121E">
        <w:rPr>
          <w:sz w:val="26"/>
          <w:szCs w:val="26"/>
          <w:lang w:val="uk-UA"/>
        </w:rPr>
        <w:t>4</w:t>
      </w:r>
      <w:r w:rsidR="007073FF">
        <w:rPr>
          <w:sz w:val="26"/>
          <w:szCs w:val="26"/>
          <w:lang w:val="uk-UA"/>
        </w:rPr>
        <w:t xml:space="preserve"> фізичних особи</w:t>
      </w:r>
      <w:r w:rsidR="0097519A">
        <w:rPr>
          <w:sz w:val="26"/>
          <w:szCs w:val="26"/>
          <w:lang w:val="uk-UA"/>
        </w:rPr>
        <w:t>.</w:t>
      </w:r>
    </w:p>
    <w:p w:rsidR="00AC3D0D" w:rsidRDefault="00AC3D0D" w:rsidP="002B121E">
      <w:pPr>
        <w:pStyle w:val="a9"/>
        <w:ind w:left="0" w:firstLine="283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 Е</w:t>
      </w:r>
      <w:r w:rsidR="0097519A">
        <w:rPr>
          <w:sz w:val="26"/>
          <w:szCs w:val="26"/>
          <w:lang w:val="uk-UA"/>
        </w:rPr>
        <w:t xml:space="preserve">кономічно-активні борги  мають </w:t>
      </w:r>
      <w:r w:rsidR="007073FF">
        <w:rPr>
          <w:sz w:val="26"/>
          <w:szCs w:val="26"/>
          <w:lang w:val="uk-UA"/>
        </w:rPr>
        <w:t>4</w:t>
      </w:r>
      <w:r w:rsidRPr="001C43C5">
        <w:rPr>
          <w:sz w:val="26"/>
          <w:szCs w:val="26"/>
          <w:lang w:val="uk-UA"/>
        </w:rPr>
        <w:t xml:space="preserve"> платник</w:t>
      </w:r>
      <w:r w:rsidR="002B121E">
        <w:rPr>
          <w:sz w:val="26"/>
          <w:szCs w:val="26"/>
          <w:lang w:val="uk-UA"/>
        </w:rPr>
        <w:t>и</w:t>
      </w:r>
      <w:r w:rsidR="009D699B">
        <w:rPr>
          <w:sz w:val="26"/>
          <w:szCs w:val="26"/>
          <w:lang w:val="uk-UA"/>
        </w:rPr>
        <w:t xml:space="preserve"> з яких</w:t>
      </w:r>
      <w:r w:rsidR="002B121E">
        <w:rPr>
          <w:sz w:val="26"/>
          <w:szCs w:val="26"/>
          <w:lang w:val="uk-UA"/>
        </w:rPr>
        <w:t>:</w:t>
      </w:r>
      <w:r w:rsidR="00DD3E1D">
        <w:rPr>
          <w:sz w:val="26"/>
          <w:szCs w:val="26"/>
          <w:lang w:val="uk-UA"/>
        </w:rPr>
        <w:t xml:space="preserve">  </w:t>
      </w:r>
      <w:r w:rsidR="007073FF">
        <w:rPr>
          <w:sz w:val="26"/>
          <w:szCs w:val="26"/>
          <w:lang w:val="uk-UA"/>
        </w:rPr>
        <w:t>1- юридична особа (ТОВ «С</w:t>
      </w:r>
      <w:r w:rsidR="004E72A0">
        <w:rPr>
          <w:sz w:val="26"/>
          <w:szCs w:val="26"/>
          <w:lang w:val="uk-UA"/>
        </w:rPr>
        <w:t>таробільський консервний завод</w:t>
      </w:r>
      <w:r w:rsidR="007073FF">
        <w:rPr>
          <w:sz w:val="26"/>
          <w:szCs w:val="26"/>
          <w:lang w:val="uk-UA"/>
        </w:rPr>
        <w:t>»), 3 – фізичних осо</w:t>
      </w:r>
      <w:r w:rsidR="00DD3E1D">
        <w:rPr>
          <w:sz w:val="26"/>
          <w:szCs w:val="26"/>
          <w:lang w:val="uk-UA"/>
        </w:rPr>
        <w:t>б</w:t>
      </w:r>
      <w:r w:rsidR="007073FF">
        <w:rPr>
          <w:sz w:val="26"/>
          <w:szCs w:val="26"/>
          <w:lang w:val="uk-UA"/>
        </w:rPr>
        <w:t>и</w:t>
      </w:r>
      <w:r w:rsidRPr="001C43C5">
        <w:rPr>
          <w:sz w:val="26"/>
          <w:szCs w:val="26"/>
          <w:lang w:val="uk-UA"/>
        </w:rPr>
        <w:t xml:space="preserve"> на суму </w:t>
      </w:r>
      <w:r w:rsidR="007073FF">
        <w:rPr>
          <w:sz w:val="26"/>
          <w:szCs w:val="26"/>
          <w:lang w:val="uk-UA"/>
        </w:rPr>
        <w:t>19,2</w:t>
      </w:r>
      <w:r w:rsidRPr="001C43C5">
        <w:rPr>
          <w:sz w:val="26"/>
          <w:szCs w:val="26"/>
          <w:lang w:val="uk-UA"/>
        </w:rPr>
        <w:t xml:space="preserve"> </w:t>
      </w:r>
      <w:proofErr w:type="spellStart"/>
      <w:r w:rsidRPr="001C43C5">
        <w:rPr>
          <w:sz w:val="26"/>
          <w:szCs w:val="26"/>
          <w:lang w:val="uk-UA"/>
        </w:rPr>
        <w:t>тис.грн</w:t>
      </w:r>
      <w:proofErr w:type="spellEnd"/>
      <w:r w:rsidRPr="001C43C5">
        <w:rPr>
          <w:sz w:val="26"/>
          <w:szCs w:val="26"/>
          <w:lang w:val="uk-UA"/>
        </w:rPr>
        <w:t>., або</w:t>
      </w:r>
      <w:r w:rsidR="004E72A0"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="007073FF">
        <w:rPr>
          <w:sz w:val="26"/>
          <w:szCs w:val="26"/>
          <w:lang w:val="uk-UA"/>
        </w:rPr>
        <w:t>2</w:t>
      </w:r>
      <w:r w:rsidR="0097519A">
        <w:rPr>
          <w:sz w:val="26"/>
          <w:szCs w:val="26"/>
          <w:lang w:val="uk-UA"/>
        </w:rPr>
        <w:t>,</w:t>
      </w:r>
      <w:r w:rsidR="007073FF">
        <w:rPr>
          <w:sz w:val="26"/>
          <w:szCs w:val="26"/>
          <w:lang w:val="uk-UA"/>
        </w:rPr>
        <w:t>7</w:t>
      </w:r>
      <w:r w:rsidRPr="001C43C5">
        <w:rPr>
          <w:sz w:val="26"/>
          <w:szCs w:val="26"/>
          <w:lang w:val="uk-UA"/>
        </w:rPr>
        <w:t xml:space="preserve"> %  від загальної суми заборгованості. </w:t>
      </w:r>
    </w:p>
    <w:p w:rsidR="00BB06EE" w:rsidRPr="003413ED" w:rsidRDefault="00BB06EE" w:rsidP="00BB06EE">
      <w:pPr>
        <w:pStyle w:val="a9"/>
        <w:ind w:left="0" w:firstLine="283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Станом на 01.01.2017 заборгованість </w:t>
      </w:r>
      <w:r w:rsidR="00B7556B">
        <w:rPr>
          <w:sz w:val="26"/>
          <w:szCs w:val="26"/>
          <w:lang w:val="uk-UA"/>
        </w:rPr>
        <w:t xml:space="preserve">з відшкодування </w:t>
      </w:r>
      <w:r w:rsidR="00B7556B" w:rsidRPr="004E72A0">
        <w:rPr>
          <w:sz w:val="26"/>
          <w:szCs w:val="26"/>
          <w:lang w:val="uk-UA"/>
        </w:rPr>
        <w:t>фактичних витрат на виплату та доставку пенсій, призначених на пільгових умовах</w:t>
      </w:r>
      <w:r w:rsidR="00B755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мають 3 економічно – активних платника, які здійснили перереєстрацію з тимчасово непідконтрольної території України (ПАТ </w:t>
      </w:r>
      <w:r w:rsidRPr="003879F4">
        <w:rPr>
          <w:sz w:val="26"/>
          <w:szCs w:val="26"/>
          <w:lang w:val="uk-UA"/>
        </w:rPr>
        <w:t>“</w:t>
      </w:r>
      <w:r>
        <w:rPr>
          <w:sz w:val="26"/>
          <w:szCs w:val="26"/>
          <w:lang w:val="uk-UA"/>
        </w:rPr>
        <w:t>Стахановський завод технічного вуглецю</w:t>
      </w:r>
      <w:r w:rsidRPr="003879F4">
        <w:rPr>
          <w:sz w:val="26"/>
          <w:szCs w:val="26"/>
          <w:lang w:val="uk-UA"/>
        </w:rPr>
        <w:t>”</w:t>
      </w:r>
      <w:r>
        <w:rPr>
          <w:sz w:val="26"/>
          <w:szCs w:val="26"/>
          <w:lang w:val="uk-UA"/>
        </w:rPr>
        <w:t xml:space="preserve"> 7409,4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 xml:space="preserve">., ТОВ </w:t>
      </w:r>
      <w:r w:rsidRPr="009711B0">
        <w:rPr>
          <w:sz w:val="26"/>
          <w:szCs w:val="26"/>
        </w:rPr>
        <w:t>“</w:t>
      </w:r>
      <w:proofErr w:type="spellStart"/>
      <w:r>
        <w:rPr>
          <w:sz w:val="26"/>
          <w:szCs w:val="26"/>
          <w:lang w:val="uk-UA"/>
        </w:rPr>
        <w:t>Інтегралл</w:t>
      </w:r>
      <w:proofErr w:type="spellEnd"/>
      <w:r w:rsidRPr="009711B0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 xml:space="preserve"> 23,8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 xml:space="preserve">. та ТОВ </w:t>
      </w:r>
      <w:r w:rsidRPr="009711B0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Темп ЛТД - А</w:t>
      </w:r>
      <w:r w:rsidRPr="009711B0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 xml:space="preserve"> 238,2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 xml:space="preserve">. ) та 1 підприємство, яке визнано банкрутом (СТОВ </w:t>
      </w:r>
      <w:r w:rsidRPr="000D0A5E">
        <w:rPr>
          <w:sz w:val="26"/>
          <w:szCs w:val="26"/>
        </w:rPr>
        <w:t>“</w:t>
      </w:r>
      <w:proofErr w:type="spellStart"/>
      <w:r>
        <w:rPr>
          <w:sz w:val="26"/>
          <w:szCs w:val="26"/>
          <w:lang w:val="uk-UA"/>
        </w:rPr>
        <w:t>Агростар</w:t>
      </w:r>
      <w:proofErr w:type="spellEnd"/>
      <w:r w:rsidRPr="000D0A5E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>)</w:t>
      </w:r>
      <w:r w:rsidRPr="000D0A5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- 4,8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315F17" w:rsidRDefault="000336F0" w:rsidP="002B121E">
      <w:pPr>
        <w:pStyle w:val="a9"/>
        <w:ind w:left="0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</w:t>
      </w:r>
      <w:r w:rsidRPr="004E72A0">
        <w:rPr>
          <w:sz w:val="26"/>
          <w:szCs w:val="26"/>
          <w:lang w:val="uk-UA"/>
        </w:rPr>
        <w:t xml:space="preserve">Протягом 2016 року заборгованість </w:t>
      </w:r>
      <w:r w:rsidR="00B7556B">
        <w:rPr>
          <w:sz w:val="26"/>
          <w:szCs w:val="26"/>
          <w:lang w:val="uk-UA"/>
        </w:rPr>
        <w:t>зросла</w:t>
      </w:r>
      <w:r w:rsidR="004E72A0">
        <w:rPr>
          <w:sz w:val="26"/>
          <w:szCs w:val="26"/>
          <w:lang w:val="uk-UA"/>
        </w:rPr>
        <w:t xml:space="preserve"> </w:t>
      </w:r>
      <w:r w:rsidR="000868D3">
        <w:rPr>
          <w:sz w:val="26"/>
          <w:szCs w:val="26"/>
          <w:lang w:val="uk-UA"/>
        </w:rPr>
        <w:t xml:space="preserve">з 52,1 </w:t>
      </w:r>
      <w:proofErr w:type="spellStart"/>
      <w:r w:rsidR="000868D3">
        <w:rPr>
          <w:sz w:val="26"/>
          <w:szCs w:val="26"/>
          <w:lang w:val="uk-UA"/>
        </w:rPr>
        <w:t>тис.грн</w:t>
      </w:r>
      <w:proofErr w:type="spellEnd"/>
      <w:r w:rsidR="000868D3">
        <w:rPr>
          <w:sz w:val="26"/>
          <w:szCs w:val="26"/>
          <w:lang w:val="uk-UA"/>
        </w:rPr>
        <w:t xml:space="preserve">. до 7676,1 </w:t>
      </w:r>
      <w:proofErr w:type="spellStart"/>
      <w:r w:rsidR="000868D3">
        <w:rPr>
          <w:sz w:val="26"/>
          <w:szCs w:val="26"/>
          <w:lang w:val="uk-UA"/>
        </w:rPr>
        <w:t>тис.грн</w:t>
      </w:r>
      <w:proofErr w:type="spellEnd"/>
      <w:r w:rsidR="000868D3">
        <w:rPr>
          <w:sz w:val="26"/>
          <w:szCs w:val="26"/>
          <w:lang w:val="uk-UA"/>
        </w:rPr>
        <w:t>. Значне зростання боргу виникло у зв</w:t>
      </w:r>
      <w:r w:rsidR="000868D3" w:rsidRPr="003879F4">
        <w:rPr>
          <w:sz w:val="26"/>
          <w:szCs w:val="26"/>
          <w:lang w:val="uk-UA"/>
        </w:rPr>
        <w:t>’</w:t>
      </w:r>
      <w:r w:rsidR="000868D3">
        <w:rPr>
          <w:sz w:val="26"/>
          <w:szCs w:val="26"/>
          <w:lang w:val="uk-UA"/>
        </w:rPr>
        <w:t>язку з перереєстрацією</w:t>
      </w:r>
      <w:r w:rsidR="00B7556B">
        <w:rPr>
          <w:sz w:val="26"/>
          <w:szCs w:val="26"/>
          <w:lang w:val="uk-UA"/>
        </w:rPr>
        <w:t xml:space="preserve"> в серпні 2016 року</w:t>
      </w:r>
      <w:r w:rsidR="000868D3">
        <w:rPr>
          <w:sz w:val="26"/>
          <w:szCs w:val="26"/>
          <w:lang w:val="uk-UA"/>
        </w:rPr>
        <w:t xml:space="preserve"> </w:t>
      </w:r>
      <w:r w:rsidR="003879F4">
        <w:rPr>
          <w:sz w:val="26"/>
          <w:szCs w:val="26"/>
          <w:lang w:val="uk-UA"/>
        </w:rPr>
        <w:t xml:space="preserve">з </w:t>
      </w:r>
      <w:r w:rsidR="003413ED">
        <w:rPr>
          <w:sz w:val="26"/>
          <w:szCs w:val="26"/>
          <w:lang w:val="uk-UA"/>
        </w:rPr>
        <w:t xml:space="preserve">тимчасово </w:t>
      </w:r>
      <w:r w:rsidR="003879F4">
        <w:rPr>
          <w:sz w:val="26"/>
          <w:szCs w:val="26"/>
          <w:lang w:val="uk-UA"/>
        </w:rPr>
        <w:t xml:space="preserve">непідконтрольної території України </w:t>
      </w:r>
      <w:r w:rsidR="000868D3">
        <w:rPr>
          <w:sz w:val="26"/>
          <w:szCs w:val="26"/>
          <w:lang w:val="uk-UA"/>
        </w:rPr>
        <w:t xml:space="preserve">до Старобільського району </w:t>
      </w:r>
      <w:r w:rsidR="00315F17">
        <w:rPr>
          <w:sz w:val="26"/>
          <w:szCs w:val="26"/>
          <w:lang w:val="uk-UA"/>
        </w:rPr>
        <w:t>ПАТ</w:t>
      </w:r>
      <w:r w:rsidR="000868D3">
        <w:rPr>
          <w:sz w:val="26"/>
          <w:szCs w:val="26"/>
          <w:lang w:val="uk-UA"/>
        </w:rPr>
        <w:t xml:space="preserve"> </w:t>
      </w:r>
      <w:r w:rsidR="000868D3" w:rsidRPr="003879F4">
        <w:rPr>
          <w:sz w:val="26"/>
          <w:szCs w:val="26"/>
          <w:lang w:val="uk-UA"/>
        </w:rPr>
        <w:t>“</w:t>
      </w:r>
      <w:r w:rsidR="000868D3">
        <w:rPr>
          <w:sz w:val="26"/>
          <w:szCs w:val="26"/>
          <w:lang w:val="uk-UA"/>
        </w:rPr>
        <w:t>Стахановський завод технічного вуглецю</w:t>
      </w:r>
      <w:r w:rsidR="000868D3" w:rsidRPr="003879F4">
        <w:rPr>
          <w:sz w:val="26"/>
          <w:szCs w:val="26"/>
          <w:lang w:val="uk-UA"/>
        </w:rPr>
        <w:t>”</w:t>
      </w:r>
      <w:r w:rsidR="003879F4">
        <w:rPr>
          <w:sz w:val="26"/>
          <w:szCs w:val="26"/>
          <w:lang w:val="uk-UA"/>
        </w:rPr>
        <w:t xml:space="preserve"> з сумою боргу </w:t>
      </w:r>
      <w:r w:rsidR="00315F17">
        <w:rPr>
          <w:sz w:val="26"/>
          <w:szCs w:val="26"/>
          <w:lang w:val="uk-UA"/>
        </w:rPr>
        <w:t xml:space="preserve">6812,3 </w:t>
      </w:r>
      <w:proofErr w:type="spellStart"/>
      <w:r w:rsidR="00315F17">
        <w:rPr>
          <w:sz w:val="26"/>
          <w:szCs w:val="26"/>
          <w:lang w:val="uk-UA"/>
        </w:rPr>
        <w:t>тис.грн</w:t>
      </w:r>
      <w:proofErr w:type="spellEnd"/>
      <w:r w:rsidR="00315F17">
        <w:rPr>
          <w:sz w:val="26"/>
          <w:szCs w:val="26"/>
          <w:lang w:val="uk-UA"/>
        </w:rPr>
        <w:t xml:space="preserve">. та яким протягом року взагалі не провадилось відшкодування пільгових пенсій. </w:t>
      </w:r>
    </w:p>
    <w:p w:rsidR="007E6A31" w:rsidRDefault="00AC3D0D" w:rsidP="00AC3D0D">
      <w:pPr>
        <w:ind w:firstLine="567"/>
        <w:jc w:val="both"/>
        <w:rPr>
          <w:sz w:val="26"/>
          <w:szCs w:val="26"/>
          <w:lang w:val="uk-UA"/>
        </w:rPr>
      </w:pPr>
      <w:r w:rsidRPr="00D77135">
        <w:rPr>
          <w:sz w:val="26"/>
          <w:szCs w:val="26"/>
          <w:lang w:val="uk-UA"/>
        </w:rPr>
        <w:t xml:space="preserve">З метою зменшення заборгованості управлінням спільно  з  державною виконавчою службою  здійснено </w:t>
      </w:r>
      <w:r w:rsidR="007073FF">
        <w:rPr>
          <w:sz w:val="26"/>
          <w:szCs w:val="26"/>
          <w:lang w:val="uk-UA"/>
        </w:rPr>
        <w:t>40</w:t>
      </w:r>
      <w:r w:rsidRPr="00D77135">
        <w:rPr>
          <w:sz w:val="26"/>
          <w:szCs w:val="26"/>
          <w:lang w:val="uk-UA"/>
        </w:rPr>
        <w:t xml:space="preserve">  виход</w:t>
      </w:r>
      <w:r w:rsidR="00AF228F">
        <w:rPr>
          <w:sz w:val="26"/>
          <w:szCs w:val="26"/>
          <w:lang w:val="uk-UA"/>
        </w:rPr>
        <w:t>и</w:t>
      </w:r>
      <w:r w:rsidRPr="00D77135">
        <w:rPr>
          <w:sz w:val="26"/>
          <w:szCs w:val="26"/>
          <w:lang w:val="uk-UA"/>
        </w:rPr>
        <w:t xml:space="preserve"> до боржників  за місцем  проживання та  здійснення  підприємницької діяльності </w:t>
      </w:r>
      <w:r w:rsidR="005647AA">
        <w:rPr>
          <w:sz w:val="26"/>
          <w:szCs w:val="26"/>
          <w:lang w:val="uk-UA"/>
        </w:rPr>
        <w:t>щодо</w:t>
      </w:r>
      <w:r w:rsidRPr="00D77135">
        <w:rPr>
          <w:sz w:val="26"/>
          <w:szCs w:val="26"/>
          <w:lang w:val="uk-UA"/>
        </w:rPr>
        <w:t xml:space="preserve"> перевірки</w:t>
      </w:r>
      <w:r w:rsidR="001D272F">
        <w:rPr>
          <w:sz w:val="26"/>
          <w:szCs w:val="26"/>
          <w:lang w:val="uk-UA"/>
        </w:rPr>
        <w:t xml:space="preserve"> майнового стану та опису майна.</w:t>
      </w:r>
    </w:p>
    <w:p w:rsidR="00AC3D0D" w:rsidRDefault="007E6A31" w:rsidP="00AC3D0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Проведено ознайомлення з </w:t>
      </w:r>
      <w:r w:rsidR="002B121E">
        <w:rPr>
          <w:sz w:val="26"/>
          <w:szCs w:val="26"/>
          <w:lang w:val="uk-UA"/>
        </w:rPr>
        <w:t>81</w:t>
      </w:r>
      <w:r>
        <w:rPr>
          <w:sz w:val="26"/>
          <w:szCs w:val="26"/>
          <w:lang w:val="uk-UA"/>
        </w:rPr>
        <w:t xml:space="preserve"> виконавчим провадженням, по 11</w:t>
      </w:r>
      <w:r w:rsidR="00AC3D0D" w:rsidRPr="00D7713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випадках виявлено порушення чинного законодавства</w:t>
      </w:r>
      <w:r w:rsidR="003D445B">
        <w:rPr>
          <w:sz w:val="26"/>
          <w:szCs w:val="26"/>
          <w:lang w:val="uk-UA"/>
        </w:rPr>
        <w:t>. За резул</w:t>
      </w:r>
      <w:r w:rsidR="006A262C">
        <w:rPr>
          <w:sz w:val="26"/>
          <w:szCs w:val="26"/>
          <w:lang w:val="uk-UA"/>
        </w:rPr>
        <w:t xml:space="preserve">ьтатами ознайомлень управлінням </w:t>
      </w:r>
      <w:r w:rsidR="00275868">
        <w:rPr>
          <w:sz w:val="26"/>
          <w:szCs w:val="26"/>
          <w:lang w:val="uk-UA"/>
        </w:rPr>
        <w:t>по</w:t>
      </w:r>
      <w:r w:rsidR="0066292E">
        <w:rPr>
          <w:sz w:val="26"/>
          <w:szCs w:val="26"/>
          <w:lang w:val="uk-UA"/>
        </w:rPr>
        <w:t xml:space="preserve"> </w:t>
      </w:r>
      <w:r w:rsidR="0004524A">
        <w:rPr>
          <w:sz w:val="26"/>
          <w:szCs w:val="26"/>
          <w:lang w:val="uk-UA"/>
        </w:rPr>
        <w:t>3</w:t>
      </w:r>
      <w:r w:rsidR="0066292E" w:rsidRPr="0066292E">
        <w:rPr>
          <w:sz w:val="26"/>
          <w:szCs w:val="26"/>
          <w:lang w:val="uk-UA"/>
        </w:rPr>
        <w:t xml:space="preserve"> </w:t>
      </w:r>
      <w:r w:rsidR="0066292E">
        <w:rPr>
          <w:sz w:val="26"/>
          <w:szCs w:val="26"/>
          <w:lang w:val="uk-UA"/>
        </w:rPr>
        <w:t>виконавчим провадженням</w:t>
      </w:r>
      <w:r w:rsidR="002064CE">
        <w:rPr>
          <w:sz w:val="26"/>
          <w:szCs w:val="26"/>
          <w:lang w:val="uk-UA"/>
        </w:rPr>
        <w:t xml:space="preserve"> подано оскарження до суду</w:t>
      </w:r>
      <w:r w:rsidR="0004524A">
        <w:rPr>
          <w:sz w:val="26"/>
          <w:szCs w:val="26"/>
          <w:lang w:val="uk-UA"/>
        </w:rPr>
        <w:t xml:space="preserve">, на </w:t>
      </w:r>
      <w:proofErr w:type="spellStart"/>
      <w:r w:rsidR="0004524A">
        <w:rPr>
          <w:sz w:val="26"/>
          <w:szCs w:val="26"/>
          <w:lang w:val="uk-UA"/>
        </w:rPr>
        <w:t>ім</w:t>
      </w:r>
      <w:proofErr w:type="spellEnd"/>
      <w:r w:rsidR="0004524A" w:rsidRPr="0004524A">
        <w:rPr>
          <w:sz w:val="26"/>
          <w:szCs w:val="26"/>
        </w:rPr>
        <w:t>’</w:t>
      </w:r>
      <w:r w:rsidR="0004524A">
        <w:rPr>
          <w:sz w:val="26"/>
          <w:szCs w:val="26"/>
          <w:lang w:val="uk-UA"/>
        </w:rPr>
        <w:t xml:space="preserve">я </w:t>
      </w:r>
      <w:r w:rsidR="000779E1">
        <w:rPr>
          <w:sz w:val="26"/>
          <w:szCs w:val="26"/>
          <w:lang w:val="uk-UA"/>
        </w:rPr>
        <w:t xml:space="preserve">начальника </w:t>
      </w:r>
      <w:r w:rsidR="0004524A">
        <w:rPr>
          <w:sz w:val="26"/>
          <w:szCs w:val="26"/>
          <w:lang w:val="uk-UA"/>
        </w:rPr>
        <w:t>Старобільського Р</w:t>
      </w:r>
      <w:r w:rsidR="000779E1">
        <w:rPr>
          <w:sz w:val="26"/>
          <w:szCs w:val="26"/>
          <w:lang w:val="uk-UA"/>
        </w:rPr>
        <w:t xml:space="preserve">ВДВС </w:t>
      </w:r>
      <w:r w:rsidR="006A262C">
        <w:rPr>
          <w:sz w:val="26"/>
          <w:szCs w:val="26"/>
          <w:lang w:val="uk-UA"/>
        </w:rPr>
        <w:t xml:space="preserve">подано </w:t>
      </w:r>
      <w:r w:rsidR="000779E1">
        <w:rPr>
          <w:sz w:val="26"/>
          <w:szCs w:val="26"/>
          <w:lang w:val="uk-UA"/>
        </w:rPr>
        <w:t xml:space="preserve">4 </w:t>
      </w:r>
      <w:r w:rsidR="006A262C">
        <w:rPr>
          <w:sz w:val="26"/>
          <w:szCs w:val="26"/>
          <w:lang w:val="uk-UA"/>
        </w:rPr>
        <w:t>скарги на бездіяльність державних виконавців</w:t>
      </w:r>
      <w:r w:rsidR="0004524A">
        <w:rPr>
          <w:sz w:val="26"/>
          <w:szCs w:val="26"/>
          <w:lang w:val="uk-UA"/>
        </w:rPr>
        <w:t xml:space="preserve"> та </w:t>
      </w:r>
      <w:r w:rsidR="00A12EAC">
        <w:rPr>
          <w:sz w:val="26"/>
          <w:szCs w:val="26"/>
          <w:lang w:val="uk-UA"/>
        </w:rPr>
        <w:t xml:space="preserve">4 скарги на </w:t>
      </w:r>
      <w:proofErr w:type="spellStart"/>
      <w:r w:rsidR="00A12EAC">
        <w:rPr>
          <w:sz w:val="26"/>
          <w:szCs w:val="26"/>
          <w:lang w:val="uk-UA"/>
        </w:rPr>
        <w:t>ім</w:t>
      </w:r>
      <w:proofErr w:type="spellEnd"/>
      <w:r w:rsidR="00A12EAC" w:rsidRPr="0004524A">
        <w:rPr>
          <w:sz w:val="26"/>
          <w:szCs w:val="26"/>
        </w:rPr>
        <w:t>’</w:t>
      </w:r>
      <w:r w:rsidR="00A12EAC">
        <w:rPr>
          <w:sz w:val="26"/>
          <w:szCs w:val="26"/>
          <w:lang w:val="uk-UA"/>
        </w:rPr>
        <w:t>я начальника УДВС ГТУЮ в Луганській області</w:t>
      </w:r>
      <w:r w:rsidR="000779E1">
        <w:rPr>
          <w:sz w:val="26"/>
          <w:szCs w:val="26"/>
          <w:lang w:val="uk-UA"/>
        </w:rPr>
        <w:t>.</w:t>
      </w:r>
      <w:r w:rsidR="0066292E">
        <w:rPr>
          <w:sz w:val="26"/>
          <w:szCs w:val="26"/>
          <w:lang w:val="uk-UA"/>
        </w:rPr>
        <w:t xml:space="preserve"> </w:t>
      </w:r>
    </w:p>
    <w:p w:rsidR="007C0E34" w:rsidRDefault="00FF12A7" w:rsidP="0047307E">
      <w:pPr>
        <w:ind w:firstLine="567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>Станом на 01.</w:t>
      </w:r>
      <w:r w:rsidR="002B121E">
        <w:rPr>
          <w:sz w:val="26"/>
          <w:szCs w:val="26"/>
          <w:lang w:val="uk-UA"/>
        </w:rPr>
        <w:t>01</w:t>
      </w:r>
      <w:r w:rsidRPr="001C43C5">
        <w:rPr>
          <w:sz w:val="26"/>
          <w:szCs w:val="26"/>
          <w:lang w:val="uk-UA"/>
        </w:rPr>
        <w:t>.201</w:t>
      </w:r>
      <w:r w:rsidR="002B121E">
        <w:rPr>
          <w:sz w:val="26"/>
          <w:szCs w:val="26"/>
          <w:lang w:val="uk-UA"/>
        </w:rPr>
        <w:t>7</w:t>
      </w:r>
      <w:r w:rsidRPr="001C43C5">
        <w:rPr>
          <w:sz w:val="26"/>
          <w:szCs w:val="26"/>
          <w:lang w:val="uk-UA"/>
        </w:rPr>
        <w:t xml:space="preserve"> року </w:t>
      </w:r>
      <w:r w:rsidR="000779E1">
        <w:rPr>
          <w:sz w:val="26"/>
          <w:szCs w:val="26"/>
          <w:lang w:val="uk-UA"/>
        </w:rPr>
        <w:t>2</w:t>
      </w:r>
      <w:r w:rsidR="002B121E">
        <w:rPr>
          <w:sz w:val="26"/>
          <w:szCs w:val="26"/>
          <w:lang w:val="uk-UA"/>
        </w:rPr>
        <w:t xml:space="preserve">7682 </w:t>
      </w:r>
      <w:r w:rsidR="00EC0371">
        <w:rPr>
          <w:sz w:val="26"/>
          <w:szCs w:val="26"/>
          <w:lang w:val="uk-UA"/>
        </w:rPr>
        <w:t>пенсіонер</w:t>
      </w:r>
      <w:r w:rsidR="00870FD8">
        <w:rPr>
          <w:sz w:val="26"/>
          <w:szCs w:val="26"/>
          <w:lang w:val="uk-UA"/>
        </w:rPr>
        <w:t>ам</w:t>
      </w:r>
      <w:r w:rsidRPr="001C43C5">
        <w:rPr>
          <w:sz w:val="26"/>
          <w:szCs w:val="26"/>
          <w:lang w:val="uk-UA"/>
        </w:rPr>
        <w:t xml:space="preserve">, які перебувають на обліку </w:t>
      </w:r>
      <w:r w:rsidR="00EC0371">
        <w:rPr>
          <w:sz w:val="26"/>
          <w:szCs w:val="26"/>
          <w:lang w:val="uk-UA"/>
        </w:rPr>
        <w:t xml:space="preserve">в управлінні </w:t>
      </w:r>
      <w:r w:rsidRPr="001C43C5">
        <w:rPr>
          <w:sz w:val="26"/>
          <w:szCs w:val="26"/>
          <w:lang w:val="uk-UA"/>
        </w:rPr>
        <w:t xml:space="preserve"> виплачено пенсій на суму </w:t>
      </w:r>
      <w:r w:rsidR="002B121E">
        <w:rPr>
          <w:sz w:val="26"/>
          <w:szCs w:val="26"/>
          <w:lang w:val="uk-UA"/>
        </w:rPr>
        <w:t>613,9</w:t>
      </w:r>
      <w:r w:rsidRPr="001C43C5">
        <w:rPr>
          <w:sz w:val="26"/>
          <w:szCs w:val="26"/>
          <w:lang w:val="uk-UA"/>
        </w:rPr>
        <w:t xml:space="preserve"> млн. грн., що на </w:t>
      </w:r>
      <w:r w:rsidR="002B121E">
        <w:rPr>
          <w:sz w:val="26"/>
          <w:szCs w:val="26"/>
          <w:lang w:val="uk-UA"/>
        </w:rPr>
        <w:t>89,7</w:t>
      </w:r>
      <w:r w:rsidRPr="001C43C5">
        <w:rPr>
          <w:sz w:val="26"/>
          <w:szCs w:val="26"/>
          <w:lang w:val="uk-UA"/>
        </w:rPr>
        <w:t xml:space="preserve"> млн. г</w:t>
      </w:r>
      <w:r w:rsidR="007B2461">
        <w:rPr>
          <w:sz w:val="26"/>
          <w:szCs w:val="26"/>
          <w:lang w:val="uk-UA"/>
        </w:rPr>
        <w:t xml:space="preserve">рн., </w:t>
      </w:r>
      <w:r w:rsidR="00DE237E">
        <w:rPr>
          <w:sz w:val="26"/>
          <w:szCs w:val="26"/>
          <w:lang w:val="uk-UA"/>
        </w:rPr>
        <w:t>менше</w:t>
      </w:r>
      <w:r w:rsidR="007B2461">
        <w:rPr>
          <w:sz w:val="26"/>
          <w:szCs w:val="26"/>
          <w:lang w:val="uk-UA"/>
        </w:rPr>
        <w:t xml:space="preserve"> в порівнянні з</w:t>
      </w:r>
      <w:r w:rsidR="002C37BB" w:rsidRPr="00405C4C">
        <w:rPr>
          <w:sz w:val="26"/>
          <w:szCs w:val="26"/>
        </w:rPr>
        <w:t xml:space="preserve"> </w:t>
      </w:r>
      <w:r w:rsidR="002C37BB">
        <w:rPr>
          <w:sz w:val="26"/>
          <w:szCs w:val="26"/>
          <w:lang w:val="uk-UA"/>
        </w:rPr>
        <w:t xml:space="preserve">аналогічним періодом </w:t>
      </w:r>
      <w:r w:rsidR="002B121E">
        <w:rPr>
          <w:sz w:val="26"/>
          <w:szCs w:val="26"/>
          <w:lang w:val="uk-UA"/>
        </w:rPr>
        <w:t>минулого року</w:t>
      </w:r>
      <w:r w:rsidR="00EC0371">
        <w:rPr>
          <w:sz w:val="26"/>
          <w:szCs w:val="26"/>
          <w:lang w:val="uk-UA"/>
        </w:rPr>
        <w:t xml:space="preserve">. </w:t>
      </w:r>
      <w:r w:rsidR="00EC0371" w:rsidRPr="00C0025D">
        <w:rPr>
          <w:sz w:val="26"/>
          <w:szCs w:val="26"/>
          <w:lang w:val="uk-UA"/>
        </w:rPr>
        <w:t xml:space="preserve">Причиною </w:t>
      </w:r>
      <w:r w:rsidR="00C0025D" w:rsidRPr="00C0025D">
        <w:rPr>
          <w:sz w:val="26"/>
          <w:szCs w:val="26"/>
          <w:lang w:val="uk-UA"/>
        </w:rPr>
        <w:t>зменшення</w:t>
      </w:r>
      <w:r w:rsidR="00EC0371" w:rsidRPr="00C0025D">
        <w:rPr>
          <w:sz w:val="26"/>
          <w:szCs w:val="26"/>
          <w:lang w:val="uk-UA"/>
        </w:rPr>
        <w:t xml:space="preserve"> потреби в коштах  на виплату пенсій стало</w:t>
      </w:r>
      <w:r w:rsidR="00A40625" w:rsidRPr="00C0025D">
        <w:rPr>
          <w:sz w:val="26"/>
          <w:szCs w:val="26"/>
          <w:lang w:val="uk-UA"/>
        </w:rPr>
        <w:t xml:space="preserve"> </w:t>
      </w:r>
      <w:r w:rsidR="00C0025D" w:rsidRPr="00C0025D">
        <w:rPr>
          <w:sz w:val="26"/>
          <w:szCs w:val="26"/>
          <w:lang w:val="uk-UA"/>
        </w:rPr>
        <w:t>припинення пенсійних виплат 7125 пенсіонерам, яким необхідно підтвердити місце фактичного проживання на території нашого району</w:t>
      </w:r>
      <w:r w:rsidR="002F6A2C" w:rsidRPr="002F6A2C">
        <w:rPr>
          <w:sz w:val="26"/>
          <w:szCs w:val="26"/>
          <w:lang w:val="uk-UA"/>
        </w:rPr>
        <w:t xml:space="preserve">, скасування 956 </w:t>
      </w:r>
      <w:r w:rsidR="002F6A2C">
        <w:rPr>
          <w:sz w:val="26"/>
          <w:szCs w:val="26"/>
          <w:lang w:val="uk-UA"/>
        </w:rPr>
        <w:t>довідок тимчасово переміщених осіб</w:t>
      </w:r>
      <w:r w:rsidR="002F6A2C" w:rsidRPr="002F6A2C">
        <w:rPr>
          <w:sz w:val="26"/>
          <w:szCs w:val="26"/>
          <w:lang w:val="uk-UA"/>
        </w:rPr>
        <w:t xml:space="preserve"> </w:t>
      </w:r>
      <w:r w:rsidR="002B121E">
        <w:rPr>
          <w:sz w:val="26"/>
          <w:szCs w:val="26"/>
          <w:lang w:val="uk-UA"/>
        </w:rPr>
        <w:t xml:space="preserve"> та значне  скорочення  чисельності пенсіонерів, які звертаються  за  поновленням пенсійних виплат з  територій тимчасово непідконтрольних   українській владі </w:t>
      </w:r>
      <w:r w:rsidR="00C0025D" w:rsidRPr="00C0025D">
        <w:rPr>
          <w:sz w:val="26"/>
          <w:szCs w:val="26"/>
          <w:lang w:val="uk-UA"/>
        </w:rPr>
        <w:t>.</w:t>
      </w:r>
      <w:r w:rsidR="00A40625">
        <w:rPr>
          <w:sz w:val="26"/>
          <w:szCs w:val="26"/>
          <w:lang w:val="uk-UA"/>
        </w:rPr>
        <w:t xml:space="preserve"> Так</w:t>
      </w:r>
      <w:r w:rsidR="00633A8A">
        <w:rPr>
          <w:sz w:val="26"/>
          <w:szCs w:val="26"/>
          <w:lang w:val="uk-UA"/>
        </w:rPr>
        <w:t>,</w:t>
      </w:r>
      <w:r w:rsidR="00A40625">
        <w:rPr>
          <w:sz w:val="26"/>
          <w:szCs w:val="26"/>
          <w:lang w:val="uk-UA"/>
        </w:rPr>
        <w:t xml:space="preserve"> </w:t>
      </w:r>
      <w:r w:rsidR="002B121E">
        <w:rPr>
          <w:sz w:val="26"/>
          <w:szCs w:val="26"/>
          <w:lang w:val="uk-UA"/>
        </w:rPr>
        <w:t xml:space="preserve"> протягом 2016 року </w:t>
      </w:r>
      <w:r w:rsidR="00A40625">
        <w:rPr>
          <w:sz w:val="26"/>
          <w:szCs w:val="26"/>
          <w:lang w:val="uk-UA"/>
        </w:rPr>
        <w:t xml:space="preserve"> </w:t>
      </w:r>
      <w:r w:rsidR="00D66332">
        <w:rPr>
          <w:sz w:val="26"/>
          <w:szCs w:val="26"/>
          <w:lang w:val="uk-UA"/>
        </w:rPr>
        <w:t xml:space="preserve">з заявами, щодо переведення пенсійних виплат звернулось </w:t>
      </w:r>
      <w:r w:rsidR="008914CC">
        <w:rPr>
          <w:sz w:val="26"/>
          <w:szCs w:val="26"/>
          <w:lang w:val="uk-UA"/>
        </w:rPr>
        <w:t>4456</w:t>
      </w:r>
      <w:r w:rsidR="00310D53">
        <w:rPr>
          <w:sz w:val="26"/>
          <w:szCs w:val="26"/>
          <w:lang w:val="uk-UA"/>
        </w:rPr>
        <w:t xml:space="preserve"> пенсіонерів, що на 589  осіб</w:t>
      </w:r>
      <w:r w:rsidR="002F6A2C">
        <w:rPr>
          <w:sz w:val="26"/>
          <w:szCs w:val="26"/>
          <w:lang w:val="uk-UA"/>
        </w:rPr>
        <w:t xml:space="preserve"> менше, ніж за 2015 рік </w:t>
      </w:r>
      <w:r w:rsidR="00310D53">
        <w:rPr>
          <w:sz w:val="26"/>
          <w:szCs w:val="26"/>
          <w:lang w:val="uk-UA"/>
        </w:rPr>
        <w:t>.</w:t>
      </w:r>
    </w:p>
    <w:p w:rsidR="006E498C" w:rsidRDefault="006E498C" w:rsidP="0047307E">
      <w:pPr>
        <w:ind w:firstLine="567"/>
        <w:jc w:val="both"/>
        <w:rPr>
          <w:sz w:val="26"/>
          <w:szCs w:val="26"/>
          <w:lang w:val="uk-UA"/>
        </w:rPr>
      </w:pPr>
    </w:p>
    <w:p w:rsidR="0047307E" w:rsidRPr="002E5F68" w:rsidRDefault="00FF12A7" w:rsidP="0047307E">
      <w:pPr>
        <w:ind w:firstLine="567"/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>Загальний контингент одержувачів  пенсій  розподілено наступним чином:</w:t>
      </w:r>
      <w:r w:rsidR="001A7749" w:rsidRPr="002E5F68">
        <w:rPr>
          <w:sz w:val="26"/>
          <w:szCs w:val="26"/>
          <w:lang w:val="uk-UA"/>
        </w:rPr>
        <w:t xml:space="preserve"> </w:t>
      </w:r>
    </w:p>
    <w:p w:rsidR="00310D53" w:rsidRDefault="00FF12A7" w:rsidP="00241F6E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отримують пенсію за віком </w:t>
      </w:r>
      <w:r w:rsidR="007C0E34">
        <w:rPr>
          <w:sz w:val="26"/>
          <w:szCs w:val="26"/>
          <w:lang w:val="uk-UA"/>
        </w:rPr>
        <w:t xml:space="preserve">на загальних </w:t>
      </w:r>
      <w:r w:rsidR="00835C0A">
        <w:rPr>
          <w:sz w:val="26"/>
          <w:szCs w:val="26"/>
          <w:lang w:val="uk-UA"/>
        </w:rPr>
        <w:t xml:space="preserve">умовах - </w:t>
      </w:r>
      <w:r w:rsidRPr="002E5F68">
        <w:rPr>
          <w:sz w:val="26"/>
          <w:szCs w:val="26"/>
          <w:lang w:val="uk-UA"/>
        </w:rPr>
        <w:t xml:space="preserve"> 8</w:t>
      </w:r>
      <w:r w:rsidR="002F6A2C" w:rsidRPr="002F6A2C">
        <w:rPr>
          <w:sz w:val="26"/>
          <w:szCs w:val="26"/>
        </w:rPr>
        <w:t>2</w:t>
      </w:r>
      <w:r w:rsidRPr="002E5F68">
        <w:rPr>
          <w:sz w:val="26"/>
          <w:szCs w:val="26"/>
          <w:lang w:val="uk-UA"/>
        </w:rPr>
        <w:t>%  (</w:t>
      </w:r>
      <w:r w:rsidR="002F1DDA" w:rsidRPr="002E5F68">
        <w:rPr>
          <w:sz w:val="26"/>
          <w:szCs w:val="26"/>
          <w:lang w:val="uk-UA"/>
        </w:rPr>
        <w:t>2</w:t>
      </w:r>
      <w:r w:rsidR="00310D53">
        <w:rPr>
          <w:sz w:val="26"/>
          <w:szCs w:val="26"/>
          <w:lang w:val="uk-UA"/>
        </w:rPr>
        <w:t>3033);</w:t>
      </w:r>
    </w:p>
    <w:p w:rsidR="00FF12A7" w:rsidRPr="002E5F68" w:rsidRDefault="00FF12A7" w:rsidP="00241F6E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>по інвалід</w:t>
      </w:r>
      <w:r w:rsidR="002F1DDA" w:rsidRPr="002E5F68">
        <w:rPr>
          <w:sz w:val="26"/>
          <w:szCs w:val="26"/>
          <w:lang w:val="uk-UA"/>
        </w:rPr>
        <w:t xml:space="preserve">ності  </w:t>
      </w:r>
      <w:r w:rsidR="00835C0A">
        <w:rPr>
          <w:sz w:val="26"/>
          <w:szCs w:val="26"/>
          <w:lang w:val="uk-UA"/>
        </w:rPr>
        <w:t xml:space="preserve">                                                        </w:t>
      </w:r>
      <w:r w:rsidR="007615F6">
        <w:rPr>
          <w:sz w:val="26"/>
          <w:szCs w:val="26"/>
          <w:lang w:val="uk-UA"/>
        </w:rPr>
        <w:t>- 8</w:t>
      </w:r>
      <w:r w:rsidRPr="002E5F68">
        <w:rPr>
          <w:sz w:val="26"/>
          <w:szCs w:val="26"/>
          <w:lang w:val="uk-UA"/>
        </w:rPr>
        <w:t xml:space="preserve"> %  (</w:t>
      </w:r>
      <w:r w:rsidR="002F1DDA" w:rsidRPr="002E5F68">
        <w:rPr>
          <w:sz w:val="26"/>
          <w:szCs w:val="26"/>
          <w:lang w:val="uk-UA"/>
        </w:rPr>
        <w:t>2</w:t>
      </w:r>
      <w:r w:rsidR="00310D53">
        <w:rPr>
          <w:sz w:val="26"/>
          <w:szCs w:val="26"/>
          <w:lang w:val="uk-UA"/>
        </w:rPr>
        <w:t>202);</w:t>
      </w:r>
    </w:p>
    <w:p w:rsidR="00FF12A7" w:rsidRPr="002E5F68" w:rsidRDefault="00FF12A7" w:rsidP="00241F6E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у зв'язку з втратою годувальника </w:t>
      </w:r>
      <w:r w:rsidR="00835C0A">
        <w:rPr>
          <w:sz w:val="26"/>
          <w:szCs w:val="26"/>
          <w:lang w:val="uk-UA"/>
        </w:rPr>
        <w:t xml:space="preserve">                           </w:t>
      </w:r>
      <w:r w:rsidRPr="002E5F68">
        <w:rPr>
          <w:sz w:val="26"/>
          <w:szCs w:val="26"/>
          <w:lang w:val="uk-UA"/>
        </w:rPr>
        <w:t xml:space="preserve">- </w:t>
      </w:r>
      <w:r w:rsidR="00310D53">
        <w:rPr>
          <w:sz w:val="26"/>
          <w:szCs w:val="26"/>
          <w:lang w:val="uk-UA"/>
        </w:rPr>
        <w:t>6</w:t>
      </w:r>
      <w:r w:rsidRPr="002E5F68">
        <w:rPr>
          <w:sz w:val="26"/>
          <w:szCs w:val="26"/>
          <w:lang w:val="uk-UA"/>
        </w:rPr>
        <w:t xml:space="preserve"> % ( </w:t>
      </w:r>
      <w:r w:rsidR="002F1DDA" w:rsidRPr="002E5F68">
        <w:rPr>
          <w:sz w:val="26"/>
          <w:szCs w:val="26"/>
          <w:lang w:val="uk-UA"/>
        </w:rPr>
        <w:t>1</w:t>
      </w:r>
      <w:r w:rsidR="00310D53">
        <w:rPr>
          <w:sz w:val="26"/>
          <w:szCs w:val="26"/>
          <w:lang w:val="uk-UA"/>
        </w:rPr>
        <w:t>671);</w:t>
      </w:r>
    </w:p>
    <w:p w:rsidR="00FF12A7" w:rsidRPr="002E5F68" w:rsidRDefault="00FF12A7" w:rsidP="00241F6E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за вислугу років </w:t>
      </w:r>
      <w:r w:rsidR="00835C0A">
        <w:rPr>
          <w:sz w:val="26"/>
          <w:szCs w:val="26"/>
          <w:lang w:val="uk-UA"/>
        </w:rPr>
        <w:t xml:space="preserve">                                                        </w:t>
      </w:r>
      <w:r w:rsidRPr="002E5F68">
        <w:rPr>
          <w:sz w:val="26"/>
          <w:szCs w:val="26"/>
          <w:lang w:val="uk-UA"/>
        </w:rPr>
        <w:t xml:space="preserve"> - </w:t>
      </w:r>
      <w:r w:rsidR="00DE237E">
        <w:rPr>
          <w:sz w:val="26"/>
          <w:szCs w:val="26"/>
          <w:lang w:val="uk-UA"/>
        </w:rPr>
        <w:t>2</w:t>
      </w:r>
      <w:r w:rsidR="00FD28C8">
        <w:rPr>
          <w:sz w:val="26"/>
          <w:szCs w:val="26"/>
          <w:lang w:val="uk-UA"/>
        </w:rPr>
        <w:t xml:space="preserve"> </w:t>
      </w:r>
      <w:r w:rsidRPr="002E5F68">
        <w:rPr>
          <w:sz w:val="26"/>
          <w:szCs w:val="26"/>
          <w:lang w:val="uk-UA"/>
        </w:rPr>
        <w:t>% (</w:t>
      </w:r>
      <w:r w:rsidR="00DE237E">
        <w:rPr>
          <w:sz w:val="26"/>
          <w:szCs w:val="26"/>
          <w:lang w:val="uk-UA"/>
        </w:rPr>
        <w:t>5</w:t>
      </w:r>
      <w:r w:rsidR="00310D53">
        <w:rPr>
          <w:sz w:val="26"/>
          <w:szCs w:val="26"/>
          <w:lang w:val="uk-UA"/>
        </w:rPr>
        <w:t>96);</w:t>
      </w:r>
    </w:p>
    <w:p w:rsidR="00FF12A7" w:rsidRPr="002E5F68" w:rsidRDefault="00FF12A7" w:rsidP="00241F6E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соціальні пенсії </w:t>
      </w:r>
      <w:r w:rsidR="00835C0A">
        <w:rPr>
          <w:sz w:val="26"/>
          <w:szCs w:val="26"/>
          <w:lang w:val="uk-UA"/>
        </w:rPr>
        <w:t xml:space="preserve">                                                          </w:t>
      </w:r>
      <w:r w:rsidRPr="002E5F68">
        <w:rPr>
          <w:sz w:val="26"/>
          <w:szCs w:val="26"/>
          <w:lang w:val="uk-UA"/>
        </w:rPr>
        <w:t>- 1% (1</w:t>
      </w:r>
      <w:r w:rsidR="00FD28C8">
        <w:rPr>
          <w:sz w:val="26"/>
          <w:szCs w:val="26"/>
          <w:lang w:val="uk-UA"/>
        </w:rPr>
        <w:t>7</w:t>
      </w:r>
      <w:r w:rsidR="00310D53">
        <w:rPr>
          <w:sz w:val="26"/>
          <w:szCs w:val="26"/>
          <w:lang w:val="uk-UA"/>
        </w:rPr>
        <w:t>3)</w:t>
      </w:r>
      <w:r w:rsidR="00481889">
        <w:rPr>
          <w:sz w:val="26"/>
          <w:szCs w:val="26"/>
          <w:lang w:val="uk-UA"/>
        </w:rPr>
        <w:t>;</w:t>
      </w:r>
    </w:p>
    <w:p w:rsidR="00FF12A7" w:rsidRPr="002E5F68" w:rsidRDefault="00FF12A7" w:rsidP="00241F6E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спеціальні пенсії   </w:t>
      </w:r>
      <w:r w:rsidR="00835C0A">
        <w:rPr>
          <w:sz w:val="26"/>
          <w:szCs w:val="26"/>
          <w:lang w:val="uk-UA"/>
        </w:rPr>
        <w:t xml:space="preserve">                    </w:t>
      </w:r>
      <w:r w:rsidR="002F7986">
        <w:rPr>
          <w:sz w:val="26"/>
          <w:szCs w:val="26"/>
          <w:lang w:val="uk-UA"/>
        </w:rPr>
        <w:t xml:space="preserve">                                 </w:t>
      </w:r>
      <w:r w:rsidRPr="002E5F68">
        <w:rPr>
          <w:sz w:val="26"/>
          <w:szCs w:val="26"/>
          <w:lang w:val="uk-UA"/>
        </w:rPr>
        <w:t>-</w:t>
      </w:r>
      <w:r w:rsidR="002F7986">
        <w:rPr>
          <w:sz w:val="26"/>
          <w:szCs w:val="26"/>
          <w:lang w:val="uk-UA"/>
        </w:rPr>
        <w:t xml:space="preserve"> </w:t>
      </w:r>
      <w:r w:rsidR="00367C7F">
        <w:rPr>
          <w:sz w:val="26"/>
          <w:szCs w:val="26"/>
          <w:lang w:val="uk-UA"/>
        </w:rPr>
        <w:t xml:space="preserve"> 1</w:t>
      </w:r>
      <w:r w:rsidRPr="002E5F68">
        <w:rPr>
          <w:sz w:val="26"/>
          <w:szCs w:val="26"/>
          <w:lang w:val="uk-UA"/>
        </w:rPr>
        <w:t xml:space="preserve"> %  (</w:t>
      </w:r>
      <w:r w:rsidR="00DE237E">
        <w:rPr>
          <w:sz w:val="26"/>
          <w:szCs w:val="26"/>
          <w:lang w:val="uk-UA"/>
        </w:rPr>
        <w:t>39</w:t>
      </w:r>
      <w:r w:rsidRPr="002E5F68">
        <w:rPr>
          <w:sz w:val="26"/>
          <w:szCs w:val="26"/>
          <w:lang w:val="uk-UA"/>
        </w:rPr>
        <w:t>).</w:t>
      </w:r>
    </w:p>
    <w:p w:rsidR="0047307E" w:rsidRPr="001C43C5" w:rsidRDefault="0047307E" w:rsidP="00FF12A7">
      <w:pPr>
        <w:ind w:firstLine="567"/>
        <w:jc w:val="both"/>
        <w:rPr>
          <w:sz w:val="26"/>
          <w:szCs w:val="26"/>
          <w:lang w:val="uk-UA"/>
        </w:rPr>
      </w:pPr>
    </w:p>
    <w:p w:rsidR="00AC3D0D" w:rsidRDefault="001A7749" w:rsidP="00FF12A7">
      <w:pPr>
        <w:ind w:firstLine="567"/>
        <w:jc w:val="both"/>
        <w:rPr>
          <w:b/>
          <w:sz w:val="26"/>
          <w:szCs w:val="26"/>
          <w:lang w:val="uk-UA"/>
        </w:rPr>
      </w:pPr>
      <w:r w:rsidRPr="001C43C5">
        <w:rPr>
          <w:b/>
          <w:sz w:val="26"/>
          <w:szCs w:val="26"/>
          <w:lang w:val="uk-UA"/>
        </w:rPr>
        <w:t xml:space="preserve">                    </w:t>
      </w:r>
    </w:p>
    <w:p w:rsidR="00AC3D0D" w:rsidRPr="00367C7F" w:rsidRDefault="00AC3D0D" w:rsidP="00FF12A7">
      <w:pPr>
        <w:ind w:firstLine="567"/>
        <w:jc w:val="both"/>
        <w:rPr>
          <w:b/>
          <w:sz w:val="26"/>
          <w:szCs w:val="26"/>
        </w:rPr>
      </w:pPr>
    </w:p>
    <w:p w:rsidR="00914577" w:rsidRPr="00367C7F" w:rsidRDefault="00914577" w:rsidP="00FF12A7">
      <w:pPr>
        <w:ind w:firstLine="567"/>
        <w:jc w:val="both"/>
        <w:rPr>
          <w:b/>
          <w:sz w:val="26"/>
          <w:szCs w:val="26"/>
        </w:rPr>
      </w:pPr>
    </w:p>
    <w:p w:rsidR="00AC3D0D" w:rsidRDefault="00AC3D0D" w:rsidP="00FF12A7">
      <w:pPr>
        <w:ind w:firstLine="567"/>
        <w:jc w:val="both"/>
        <w:rPr>
          <w:b/>
          <w:sz w:val="26"/>
          <w:szCs w:val="26"/>
          <w:lang w:val="uk-UA"/>
        </w:rPr>
      </w:pPr>
    </w:p>
    <w:p w:rsidR="001A7749" w:rsidRPr="001C43C5" w:rsidRDefault="00AC3D0D" w:rsidP="00FF12A7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</w:t>
      </w:r>
      <w:r w:rsidR="001A7749" w:rsidRPr="001C43C5">
        <w:rPr>
          <w:b/>
          <w:sz w:val="26"/>
          <w:szCs w:val="26"/>
          <w:lang w:val="uk-UA"/>
        </w:rPr>
        <w:t xml:space="preserve">   Контингент   одержувачів  пенсій. </w:t>
      </w:r>
    </w:p>
    <w:p w:rsidR="001A7749" w:rsidRPr="001C43C5" w:rsidRDefault="00E927E0" w:rsidP="0047307E">
      <w:pPr>
        <w:jc w:val="both"/>
        <w:rPr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143625" cy="2400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7749" w:rsidRPr="001C43C5" w:rsidRDefault="001A7749" w:rsidP="00FF12A7">
      <w:pPr>
        <w:ind w:firstLine="567"/>
        <w:jc w:val="both"/>
        <w:rPr>
          <w:sz w:val="28"/>
          <w:szCs w:val="28"/>
          <w:lang w:val="uk-UA"/>
        </w:rPr>
      </w:pPr>
    </w:p>
    <w:p w:rsidR="00FF12A7" w:rsidRPr="001C43C5" w:rsidRDefault="00FF12A7" w:rsidP="00FF12A7">
      <w:pPr>
        <w:ind w:firstLine="567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lastRenderedPageBreak/>
        <w:t xml:space="preserve">Продовжують працювати  після призначення  пенсії </w:t>
      </w:r>
      <w:r w:rsidR="00481889">
        <w:rPr>
          <w:sz w:val="26"/>
          <w:szCs w:val="26"/>
          <w:lang w:val="uk-UA"/>
        </w:rPr>
        <w:t>4287 чоловік</w:t>
      </w:r>
      <w:r w:rsidRPr="001C43C5">
        <w:rPr>
          <w:sz w:val="26"/>
          <w:szCs w:val="26"/>
          <w:lang w:val="uk-UA"/>
        </w:rPr>
        <w:t xml:space="preserve"> або  1</w:t>
      </w:r>
      <w:r w:rsidR="00877B70">
        <w:rPr>
          <w:sz w:val="26"/>
          <w:szCs w:val="26"/>
          <w:lang w:val="uk-UA"/>
        </w:rPr>
        <w:t>5</w:t>
      </w:r>
      <w:r w:rsidR="00481889">
        <w:rPr>
          <w:sz w:val="26"/>
          <w:szCs w:val="26"/>
          <w:lang w:val="uk-UA"/>
        </w:rPr>
        <w:t>,5</w:t>
      </w:r>
      <w:r w:rsidRPr="001C43C5">
        <w:rPr>
          <w:sz w:val="26"/>
          <w:szCs w:val="26"/>
          <w:lang w:val="uk-UA"/>
        </w:rPr>
        <w:t xml:space="preserve">% від загальної кількості  отримувачів пенсійних виплат. </w:t>
      </w:r>
    </w:p>
    <w:p w:rsidR="00FF12A7" w:rsidRPr="001C43C5" w:rsidRDefault="00FF12A7" w:rsidP="00FF12A7">
      <w:pPr>
        <w:ind w:firstLine="567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Протягом звітного періоду призначено </w:t>
      </w:r>
      <w:r w:rsidR="00481889">
        <w:rPr>
          <w:sz w:val="26"/>
          <w:szCs w:val="26"/>
          <w:lang w:val="uk-UA"/>
        </w:rPr>
        <w:t>560 пенсій, п</w:t>
      </w:r>
      <w:r w:rsidRPr="001C43C5">
        <w:rPr>
          <w:sz w:val="26"/>
          <w:szCs w:val="26"/>
          <w:lang w:val="uk-UA"/>
        </w:rPr>
        <w:t xml:space="preserve">роведено </w:t>
      </w:r>
      <w:r w:rsidR="00481889">
        <w:rPr>
          <w:sz w:val="26"/>
          <w:szCs w:val="26"/>
          <w:lang w:val="uk-UA"/>
        </w:rPr>
        <w:t>1053</w:t>
      </w:r>
      <w:r w:rsidRPr="001C43C5">
        <w:rPr>
          <w:sz w:val="26"/>
          <w:szCs w:val="26"/>
          <w:lang w:val="uk-UA"/>
        </w:rPr>
        <w:t xml:space="preserve">  індивідуальних перерахунків пенсій, надбавок та підвищень до них.    </w:t>
      </w:r>
    </w:p>
    <w:p w:rsidR="00FF12A7" w:rsidRPr="001C43C5" w:rsidRDefault="00FF12A7" w:rsidP="00FF12A7">
      <w:pPr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      Середній розмір пенсій</w:t>
      </w:r>
      <w:r w:rsidR="00501B97">
        <w:rPr>
          <w:sz w:val="26"/>
          <w:szCs w:val="26"/>
          <w:lang w:val="uk-UA"/>
        </w:rPr>
        <w:t xml:space="preserve">ної виплати </w:t>
      </w:r>
      <w:r w:rsidRPr="001C43C5">
        <w:rPr>
          <w:sz w:val="26"/>
          <w:szCs w:val="26"/>
          <w:lang w:val="uk-UA"/>
        </w:rPr>
        <w:t xml:space="preserve">станом на 1 </w:t>
      </w:r>
      <w:r w:rsidR="00481889">
        <w:rPr>
          <w:sz w:val="26"/>
          <w:szCs w:val="26"/>
          <w:lang w:val="uk-UA"/>
        </w:rPr>
        <w:t>січня</w:t>
      </w:r>
      <w:r w:rsidRPr="001C43C5">
        <w:rPr>
          <w:sz w:val="26"/>
          <w:szCs w:val="26"/>
          <w:lang w:val="uk-UA"/>
        </w:rPr>
        <w:t xml:space="preserve"> 201</w:t>
      </w:r>
      <w:r w:rsidR="00481889">
        <w:rPr>
          <w:sz w:val="26"/>
          <w:szCs w:val="26"/>
          <w:lang w:val="uk-UA"/>
        </w:rPr>
        <w:t>7</w:t>
      </w:r>
      <w:r w:rsidRPr="001C43C5">
        <w:rPr>
          <w:sz w:val="26"/>
          <w:szCs w:val="26"/>
          <w:lang w:val="uk-UA"/>
        </w:rPr>
        <w:t xml:space="preserve"> року  становить  </w:t>
      </w:r>
      <w:r w:rsidR="003F58FE">
        <w:rPr>
          <w:sz w:val="26"/>
          <w:szCs w:val="26"/>
          <w:lang w:val="uk-UA"/>
        </w:rPr>
        <w:t>1</w:t>
      </w:r>
      <w:r w:rsidR="00A06DBF">
        <w:rPr>
          <w:sz w:val="26"/>
          <w:szCs w:val="26"/>
          <w:lang w:val="uk-UA"/>
        </w:rPr>
        <w:t>945,19</w:t>
      </w:r>
      <w:r w:rsidRPr="001C43C5">
        <w:rPr>
          <w:sz w:val="26"/>
          <w:szCs w:val="26"/>
          <w:lang w:val="uk-UA"/>
        </w:rPr>
        <w:t xml:space="preserve"> грн.</w:t>
      </w:r>
      <w:r w:rsidR="00A1508E">
        <w:rPr>
          <w:sz w:val="26"/>
          <w:szCs w:val="26"/>
          <w:lang w:val="uk-UA"/>
        </w:rPr>
        <w:t>,</w:t>
      </w:r>
      <w:r w:rsidRPr="001C43C5">
        <w:rPr>
          <w:sz w:val="26"/>
          <w:szCs w:val="26"/>
          <w:lang w:val="uk-UA"/>
        </w:rPr>
        <w:t xml:space="preserve"> що в порівнянні з відповідним періодом 201</w:t>
      </w:r>
      <w:r w:rsidR="00A06DBF">
        <w:rPr>
          <w:sz w:val="26"/>
          <w:szCs w:val="26"/>
          <w:lang w:val="uk-UA"/>
        </w:rPr>
        <w:t>6</w:t>
      </w:r>
      <w:r w:rsidRPr="001C43C5">
        <w:rPr>
          <w:sz w:val="26"/>
          <w:szCs w:val="26"/>
          <w:lang w:val="uk-UA"/>
        </w:rPr>
        <w:t xml:space="preserve"> року більше на </w:t>
      </w:r>
      <w:r w:rsidR="00A06DBF">
        <w:rPr>
          <w:sz w:val="26"/>
          <w:szCs w:val="26"/>
          <w:lang w:val="uk-UA"/>
        </w:rPr>
        <w:t>137,23</w:t>
      </w:r>
      <w:r w:rsidR="00A40625">
        <w:rPr>
          <w:sz w:val="26"/>
          <w:szCs w:val="26"/>
          <w:lang w:val="uk-UA"/>
        </w:rPr>
        <w:t xml:space="preserve"> </w:t>
      </w:r>
      <w:r w:rsidRPr="001C43C5">
        <w:rPr>
          <w:sz w:val="26"/>
          <w:szCs w:val="26"/>
          <w:lang w:val="uk-UA"/>
        </w:rPr>
        <w:t>грн.</w:t>
      </w:r>
      <w:r w:rsidR="00501B97">
        <w:rPr>
          <w:sz w:val="26"/>
          <w:szCs w:val="26"/>
          <w:lang w:val="uk-UA"/>
        </w:rPr>
        <w:t xml:space="preserve"> </w:t>
      </w:r>
      <w:r w:rsidR="00490697">
        <w:rPr>
          <w:sz w:val="26"/>
          <w:szCs w:val="26"/>
          <w:lang w:val="uk-UA"/>
        </w:rPr>
        <w:t xml:space="preserve"> </w:t>
      </w:r>
      <w:r w:rsidR="00501B97">
        <w:rPr>
          <w:sz w:val="26"/>
          <w:szCs w:val="26"/>
          <w:lang w:val="uk-UA"/>
        </w:rPr>
        <w:t xml:space="preserve">( </w:t>
      </w:r>
      <w:r w:rsidR="00720B80">
        <w:rPr>
          <w:sz w:val="26"/>
          <w:szCs w:val="26"/>
          <w:lang w:val="uk-UA"/>
        </w:rPr>
        <w:t>01.</w:t>
      </w:r>
      <w:r w:rsidR="00A06DBF">
        <w:rPr>
          <w:sz w:val="26"/>
          <w:szCs w:val="26"/>
          <w:lang w:val="uk-UA"/>
        </w:rPr>
        <w:t>01</w:t>
      </w:r>
      <w:r w:rsidR="00720B80">
        <w:rPr>
          <w:sz w:val="26"/>
          <w:szCs w:val="26"/>
          <w:lang w:val="uk-UA"/>
        </w:rPr>
        <w:t xml:space="preserve">. </w:t>
      </w:r>
      <w:r w:rsidR="00501B97">
        <w:rPr>
          <w:sz w:val="26"/>
          <w:szCs w:val="26"/>
          <w:lang w:val="uk-UA"/>
        </w:rPr>
        <w:t>201</w:t>
      </w:r>
      <w:r w:rsidR="00A06DBF">
        <w:rPr>
          <w:sz w:val="26"/>
          <w:szCs w:val="26"/>
          <w:lang w:val="uk-UA"/>
        </w:rPr>
        <w:t>6</w:t>
      </w:r>
      <w:r w:rsidR="00772A0E">
        <w:rPr>
          <w:sz w:val="26"/>
          <w:szCs w:val="26"/>
          <w:lang w:val="uk-UA"/>
        </w:rPr>
        <w:t xml:space="preserve"> ро</w:t>
      </w:r>
      <w:r w:rsidR="00501B97">
        <w:rPr>
          <w:sz w:val="26"/>
          <w:szCs w:val="26"/>
          <w:lang w:val="uk-UA"/>
        </w:rPr>
        <w:t>к</w:t>
      </w:r>
      <w:r w:rsidR="00772A0E">
        <w:rPr>
          <w:sz w:val="26"/>
          <w:szCs w:val="26"/>
          <w:lang w:val="uk-UA"/>
        </w:rPr>
        <w:t>у</w:t>
      </w:r>
      <w:r w:rsidR="00501B97">
        <w:rPr>
          <w:sz w:val="26"/>
          <w:szCs w:val="26"/>
          <w:lang w:val="uk-UA"/>
        </w:rPr>
        <w:t xml:space="preserve"> -1</w:t>
      </w:r>
      <w:r w:rsidR="00DE237E">
        <w:rPr>
          <w:sz w:val="26"/>
          <w:szCs w:val="26"/>
          <w:lang w:val="uk-UA"/>
        </w:rPr>
        <w:t>80</w:t>
      </w:r>
      <w:r w:rsidR="00A06DBF">
        <w:rPr>
          <w:sz w:val="26"/>
          <w:szCs w:val="26"/>
          <w:lang w:val="uk-UA"/>
        </w:rPr>
        <w:t>7,96</w:t>
      </w:r>
      <w:r w:rsidR="00772A0E">
        <w:rPr>
          <w:sz w:val="26"/>
          <w:szCs w:val="26"/>
          <w:lang w:val="uk-UA"/>
        </w:rPr>
        <w:t xml:space="preserve"> </w:t>
      </w:r>
      <w:r w:rsidR="00501B97">
        <w:rPr>
          <w:sz w:val="26"/>
          <w:szCs w:val="26"/>
          <w:lang w:val="uk-UA"/>
        </w:rPr>
        <w:t>грн.).</w:t>
      </w:r>
      <w:r w:rsidR="00BB29A2">
        <w:rPr>
          <w:sz w:val="26"/>
          <w:szCs w:val="26"/>
          <w:lang w:val="uk-UA"/>
        </w:rPr>
        <w:t xml:space="preserve"> З</w:t>
      </w:r>
      <w:r w:rsidR="00501B97">
        <w:rPr>
          <w:sz w:val="26"/>
          <w:szCs w:val="26"/>
          <w:lang w:val="uk-UA"/>
        </w:rPr>
        <w:t>більшення відбулося</w:t>
      </w:r>
      <w:r w:rsidR="007A77F0">
        <w:rPr>
          <w:sz w:val="26"/>
          <w:szCs w:val="26"/>
          <w:lang w:val="uk-UA"/>
        </w:rPr>
        <w:t xml:space="preserve"> за рахунок </w:t>
      </w:r>
      <w:r w:rsidR="00A06DBF">
        <w:rPr>
          <w:sz w:val="26"/>
          <w:szCs w:val="26"/>
          <w:lang w:val="uk-UA"/>
        </w:rPr>
        <w:t xml:space="preserve"> проведення   індивідуальних та масових  перерахунків пенсій та   </w:t>
      </w:r>
      <w:r w:rsidR="007A77F0">
        <w:rPr>
          <w:sz w:val="26"/>
          <w:szCs w:val="26"/>
          <w:lang w:val="uk-UA"/>
        </w:rPr>
        <w:t>прийняття на облік пенсіонерів з шахтарських регіонів, розмір пенсії яких обчислено відповідно до Закону України «Про</w:t>
      </w:r>
      <w:r w:rsidR="00A323A8">
        <w:rPr>
          <w:sz w:val="26"/>
          <w:szCs w:val="26"/>
          <w:lang w:val="uk-UA"/>
        </w:rPr>
        <w:t xml:space="preserve"> престижність шахтарської праці</w:t>
      </w:r>
      <w:r w:rsidR="007A77F0">
        <w:rPr>
          <w:sz w:val="26"/>
          <w:szCs w:val="26"/>
          <w:lang w:val="uk-UA"/>
        </w:rPr>
        <w:t>»</w:t>
      </w:r>
      <w:r w:rsidR="00A323A8">
        <w:rPr>
          <w:sz w:val="26"/>
          <w:szCs w:val="26"/>
          <w:lang w:val="uk-UA"/>
        </w:rPr>
        <w:t>.</w:t>
      </w:r>
      <w:r w:rsidR="00A1508E">
        <w:rPr>
          <w:sz w:val="26"/>
          <w:szCs w:val="26"/>
          <w:lang w:val="uk-UA"/>
        </w:rPr>
        <w:t xml:space="preserve"> </w:t>
      </w:r>
      <w:r w:rsidRPr="001C43C5">
        <w:rPr>
          <w:sz w:val="26"/>
          <w:szCs w:val="26"/>
          <w:lang w:val="uk-UA"/>
        </w:rPr>
        <w:t xml:space="preserve"> </w:t>
      </w:r>
    </w:p>
    <w:p w:rsidR="00E961E8" w:rsidRPr="002E5F68" w:rsidRDefault="00FF12A7" w:rsidP="00FF12A7">
      <w:pPr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      </w:t>
      </w:r>
      <w:r w:rsidR="00E875AE">
        <w:rPr>
          <w:sz w:val="26"/>
          <w:szCs w:val="26"/>
          <w:lang w:val="uk-UA"/>
        </w:rPr>
        <w:t>І</w:t>
      </w:r>
      <w:r w:rsidRPr="002E5F68">
        <w:rPr>
          <w:sz w:val="26"/>
          <w:szCs w:val="26"/>
          <w:lang w:val="uk-UA"/>
        </w:rPr>
        <w:t xml:space="preserve">з загального числа пенсіонерів одержують пенсію:  </w:t>
      </w:r>
    </w:p>
    <w:p w:rsidR="00FF12A7" w:rsidRPr="002E5F68" w:rsidRDefault="00FF12A7" w:rsidP="00FF12A7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       </w:t>
      </w:r>
      <w:r w:rsidR="001A7749" w:rsidRPr="002E5F68">
        <w:rPr>
          <w:sz w:val="26"/>
          <w:szCs w:val="26"/>
          <w:lang w:val="uk-UA"/>
        </w:rPr>
        <w:t xml:space="preserve"> </w:t>
      </w:r>
      <w:r w:rsidRPr="002E5F68">
        <w:rPr>
          <w:sz w:val="26"/>
          <w:szCs w:val="26"/>
          <w:lang w:val="uk-UA"/>
        </w:rPr>
        <w:t xml:space="preserve"> -  н</w:t>
      </w:r>
      <w:r w:rsidR="005044BF" w:rsidRPr="002E5F68">
        <w:rPr>
          <w:sz w:val="26"/>
          <w:szCs w:val="26"/>
          <w:lang w:val="uk-UA"/>
        </w:rPr>
        <w:t xml:space="preserve">ижче прожиткового мінімуму – </w:t>
      </w:r>
      <w:r w:rsidR="00A42EFB">
        <w:rPr>
          <w:sz w:val="26"/>
          <w:szCs w:val="26"/>
          <w:lang w:val="uk-UA"/>
        </w:rPr>
        <w:t>2255</w:t>
      </w:r>
      <w:r w:rsidRPr="002E5F68">
        <w:rPr>
          <w:sz w:val="26"/>
          <w:szCs w:val="26"/>
          <w:lang w:val="uk-UA"/>
        </w:rPr>
        <w:t xml:space="preserve">  пенсіонер</w:t>
      </w:r>
      <w:r w:rsidR="00A42EFB">
        <w:rPr>
          <w:sz w:val="26"/>
          <w:szCs w:val="26"/>
          <w:lang w:val="uk-UA"/>
        </w:rPr>
        <w:t>ів</w:t>
      </w:r>
      <w:r w:rsidR="00E875AE">
        <w:rPr>
          <w:sz w:val="26"/>
          <w:szCs w:val="26"/>
          <w:lang w:val="uk-UA"/>
        </w:rPr>
        <w:t xml:space="preserve">, або  </w:t>
      </w:r>
      <w:r w:rsidR="00A42EFB">
        <w:rPr>
          <w:sz w:val="26"/>
          <w:szCs w:val="26"/>
          <w:lang w:val="uk-UA"/>
        </w:rPr>
        <w:t>8</w:t>
      </w:r>
      <w:r w:rsidR="00E875AE">
        <w:rPr>
          <w:sz w:val="26"/>
          <w:szCs w:val="26"/>
          <w:lang w:val="uk-UA"/>
        </w:rPr>
        <w:t xml:space="preserve"> % від загальної кількості пенсіонерів</w:t>
      </w:r>
      <w:r w:rsidRPr="002E5F68">
        <w:rPr>
          <w:sz w:val="26"/>
          <w:szCs w:val="26"/>
          <w:lang w:val="uk-UA"/>
        </w:rPr>
        <w:t>;</w:t>
      </w:r>
    </w:p>
    <w:p w:rsidR="00FF12A7" w:rsidRPr="002E5F68" w:rsidRDefault="00083962" w:rsidP="002E5F68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 </w:t>
      </w:r>
      <w:r w:rsidR="002E5F68">
        <w:rPr>
          <w:sz w:val="26"/>
          <w:szCs w:val="26"/>
          <w:lang w:val="uk-UA"/>
        </w:rPr>
        <w:t xml:space="preserve">        </w:t>
      </w:r>
      <w:r w:rsidRPr="002E5F68">
        <w:rPr>
          <w:sz w:val="26"/>
          <w:szCs w:val="26"/>
          <w:lang w:val="uk-UA"/>
        </w:rPr>
        <w:t xml:space="preserve">-    </w:t>
      </w:r>
      <w:r w:rsidR="00FF12A7" w:rsidRPr="002E5F68">
        <w:rPr>
          <w:sz w:val="26"/>
          <w:szCs w:val="26"/>
          <w:lang w:val="uk-UA"/>
        </w:rPr>
        <w:t xml:space="preserve">у розмірі прожиткового  мінімуму – </w:t>
      </w:r>
      <w:r w:rsidR="00DE237E">
        <w:rPr>
          <w:sz w:val="26"/>
          <w:szCs w:val="26"/>
          <w:lang w:val="uk-UA"/>
        </w:rPr>
        <w:t>5</w:t>
      </w:r>
      <w:r w:rsidR="00A42EFB">
        <w:rPr>
          <w:sz w:val="26"/>
          <w:szCs w:val="26"/>
          <w:lang w:val="uk-UA"/>
        </w:rPr>
        <w:t>70</w:t>
      </w:r>
      <w:r w:rsidR="005044BF" w:rsidRPr="002E5F68">
        <w:rPr>
          <w:sz w:val="26"/>
          <w:szCs w:val="26"/>
          <w:lang w:val="uk-UA"/>
        </w:rPr>
        <w:t xml:space="preserve"> </w:t>
      </w:r>
      <w:r w:rsidR="00FF12A7" w:rsidRPr="002E5F68">
        <w:rPr>
          <w:sz w:val="26"/>
          <w:szCs w:val="26"/>
          <w:lang w:val="uk-UA"/>
        </w:rPr>
        <w:t xml:space="preserve"> пенсіонер</w:t>
      </w:r>
      <w:r w:rsidR="00635322">
        <w:rPr>
          <w:sz w:val="26"/>
          <w:szCs w:val="26"/>
          <w:lang w:val="uk-UA"/>
        </w:rPr>
        <w:t>ів</w:t>
      </w:r>
      <w:r w:rsidR="00FF12A7" w:rsidRPr="002E5F68">
        <w:rPr>
          <w:sz w:val="26"/>
          <w:szCs w:val="26"/>
          <w:lang w:val="uk-UA"/>
        </w:rPr>
        <w:t xml:space="preserve">  (</w:t>
      </w:r>
      <w:r w:rsidR="00595B2A">
        <w:rPr>
          <w:sz w:val="26"/>
          <w:szCs w:val="26"/>
          <w:lang w:val="uk-UA"/>
        </w:rPr>
        <w:t>2</w:t>
      </w:r>
      <w:r w:rsidR="008A5A2B" w:rsidRPr="002E5F68">
        <w:rPr>
          <w:sz w:val="26"/>
          <w:szCs w:val="26"/>
          <w:lang w:val="uk-UA"/>
        </w:rPr>
        <w:t xml:space="preserve"> </w:t>
      </w:r>
      <w:r w:rsidR="00FF12A7" w:rsidRPr="002E5F68">
        <w:rPr>
          <w:sz w:val="26"/>
          <w:szCs w:val="26"/>
          <w:lang w:val="uk-UA"/>
        </w:rPr>
        <w:t>%);</w:t>
      </w:r>
    </w:p>
    <w:p w:rsidR="00FF12A7" w:rsidRPr="002E5F68" w:rsidRDefault="00083962" w:rsidP="002E5F68">
      <w:pPr>
        <w:jc w:val="both"/>
        <w:rPr>
          <w:sz w:val="26"/>
          <w:szCs w:val="26"/>
          <w:lang w:val="uk-UA"/>
        </w:rPr>
      </w:pPr>
      <w:r w:rsidRPr="002E5F68">
        <w:rPr>
          <w:sz w:val="26"/>
          <w:szCs w:val="26"/>
          <w:lang w:val="uk-UA"/>
        </w:rPr>
        <w:t xml:space="preserve">  </w:t>
      </w:r>
      <w:r w:rsidR="002E5F68">
        <w:rPr>
          <w:sz w:val="26"/>
          <w:szCs w:val="26"/>
          <w:lang w:val="uk-UA"/>
        </w:rPr>
        <w:t xml:space="preserve">       </w:t>
      </w:r>
      <w:r w:rsidRPr="002E5F68">
        <w:rPr>
          <w:sz w:val="26"/>
          <w:szCs w:val="26"/>
          <w:lang w:val="uk-UA"/>
        </w:rPr>
        <w:t xml:space="preserve">-    </w:t>
      </w:r>
      <w:r w:rsidR="00FF12A7" w:rsidRPr="002E5F68">
        <w:rPr>
          <w:sz w:val="26"/>
          <w:szCs w:val="26"/>
          <w:lang w:val="uk-UA"/>
        </w:rPr>
        <w:t xml:space="preserve">вище прожиткового мінімуму – </w:t>
      </w:r>
      <w:r w:rsidR="008A5A2B" w:rsidRPr="002E5F68">
        <w:rPr>
          <w:sz w:val="26"/>
          <w:szCs w:val="26"/>
          <w:lang w:val="uk-UA"/>
        </w:rPr>
        <w:t>2</w:t>
      </w:r>
      <w:r w:rsidR="00C6637C">
        <w:rPr>
          <w:sz w:val="26"/>
          <w:szCs w:val="26"/>
          <w:lang w:val="uk-UA"/>
        </w:rPr>
        <w:t>4</w:t>
      </w:r>
      <w:r w:rsidR="00A42EFB">
        <w:rPr>
          <w:sz w:val="26"/>
          <w:szCs w:val="26"/>
          <w:lang w:val="uk-UA"/>
        </w:rPr>
        <w:t>857</w:t>
      </w:r>
      <w:r w:rsidR="008A5A2B" w:rsidRPr="002E5F68">
        <w:rPr>
          <w:sz w:val="26"/>
          <w:szCs w:val="26"/>
          <w:lang w:val="uk-UA"/>
        </w:rPr>
        <w:t xml:space="preserve"> </w:t>
      </w:r>
      <w:r w:rsidR="00FF12A7" w:rsidRPr="002E5F68">
        <w:rPr>
          <w:sz w:val="26"/>
          <w:szCs w:val="26"/>
          <w:lang w:val="uk-UA"/>
        </w:rPr>
        <w:t xml:space="preserve"> пенсіонер</w:t>
      </w:r>
      <w:r w:rsidR="00A42EFB">
        <w:rPr>
          <w:sz w:val="26"/>
          <w:szCs w:val="26"/>
          <w:lang w:val="uk-UA"/>
        </w:rPr>
        <w:t>ів</w:t>
      </w:r>
      <w:r w:rsidR="00FF12A7" w:rsidRPr="002E5F68">
        <w:rPr>
          <w:sz w:val="26"/>
          <w:szCs w:val="26"/>
          <w:lang w:val="uk-UA"/>
        </w:rPr>
        <w:t xml:space="preserve"> (9</w:t>
      </w:r>
      <w:r w:rsidR="00A42EFB">
        <w:rPr>
          <w:sz w:val="26"/>
          <w:szCs w:val="26"/>
          <w:lang w:val="uk-UA"/>
        </w:rPr>
        <w:t>0</w:t>
      </w:r>
      <w:r w:rsidR="00FF12A7" w:rsidRPr="002E5F68">
        <w:rPr>
          <w:sz w:val="26"/>
          <w:szCs w:val="26"/>
          <w:lang w:val="uk-UA"/>
        </w:rPr>
        <w:t>%).</w:t>
      </w:r>
    </w:p>
    <w:p w:rsidR="00173A9B" w:rsidRPr="00A1508E" w:rsidRDefault="00173A9B" w:rsidP="00083962">
      <w:pPr>
        <w:ind w:left="567"/>
        <w:jc w:val="both"/>
        <w:rPr>
          <w:i/>
          <w:sz w:val="26"/>
          <w:szCs w:val="26"/>
          <w:lang w:val="uk-UA"/>
        </w:rPr>
      </w:pPr>
    </w:p>
    <w:p w:rsidR="00610ABC" w:rsidRDefault="001A7749" w:rsidP="00083962">
      <w:pPr>
        <w:ind w:left="567"/>
        <w:jc w:val="both"/>
        <w:rPr>
          <w:i/>
          <w:sz w:val="26"/>
          <w:szCs w:val="26"/>
          <w:lang w:val="uk-UA"/>
        </w:rPr>
      </w:pPr>
      <w:r w:rsidRPr="00A1508E">
        <w:rPr>
          <w:i/>
          <w:sz w:val="26"/>
          <w:szCs w:val="26"/>
          <w:lang w:val="uk-UA"/>
        </w:rPr>
        <w:t xml:space="preserve">                     </w:t>
      </w:r>
    </w:p>
    <w:p w:rsidR="001A7749" w:rsidRPr="00A1508E" w:rsidRDefault="00610ABC" w:rsidP="00083962">
      <w:pPr>
        <w:ind w:left="567"/>
        <w:jc w:val="both"/>
        <w:rPr>
          <w:b/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             </w:t>
      </w:r>
      <w:r w:rsidR="001A7749" w:rsidRPr="00A1508E">
        <w:rPr>
          <w:i/>
          <w:sz w:val="26"/>
          <w:szCs w:val="26"/>
          <w:lang w:val="uk-UA"/>
        </w:rPr>
        <w:t xml:space="preserve">  </w:t>
      </w:r>
      <w:r w:rsidR="001A7749" w:rsidRPr="00A1508E">
        <w:rPr>
          <w:b/>
          <w:i/>
          <w:sz w:val="26"/>
          <w:szCs w:val="26"/>
          <w:lang w:val="uk-UA"/>
        </w:rPr>
        <w:t>Розподіл одержувачів пенсійних виплат</w:t>
      </w:r>
    </w:p>
    <w:p w:rsidR="001A7749" w:rsidRPr="005621FE" w:rsidRDefault="001A7749" w:rsidP="00083962">
      <w:pPr>
        <w:ind w:left="567"/>
        <w:jc w:val="both"/>
        <w:rPr>
          <w:i/>
          <w:sz w:val="28"/>
          <w:szCs w:val="28"/>
          <w:lang w:val="uk-UA"/>
        </w:rPr>
      </w:pPr>
    </w:p>
    <w:p w:rsidR="001A7749" w:rsidRPr="00A1508E" w:rsidRDefault="00E927E0" w:rsidP="00083962">
      <w:pPr>
        <w:ind w:left="567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67300" cy="18859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2A7" w:rsidRPr="001C43C5" w:rsidRDefault="00982CEC" w:rsidP="00217C6E">
      <w:pPr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FF12A7" w:rsidRPr="001C43C5">
        <w:rPr>
          <w:sz w:val="26"/>
          <w:szCs w:val="26"/>
          <w:lang w:val="uk-UA"/>
        </w:rPr>
        <w:t xml:space="preserve">   </w:t>
      </w:r>
      <w:r w:rsidR="00FF12A7" w:rsidRPr="00A15B03">
        <w:rPr>
          <w:sz w:val="26"/>
          <w:szCs w:val="26"/>
          <w:lang w:val="uk-UA"/>
        </w:rPr>
        <w:t xml:space="preserve">Протягом </w:t>
      </w:r>
      <w:r w:rsidR="00032F4F" w:rsidRPr="00A15B03">
        <w:rPr>
          <w:sz w:val="26"/>
          <w:szCs w:val="26"/>
          <w:lang w:val="uk-UA"/>
        </w:rPr>
        <w:t xml:space="preserve"> </w:t>
      </w:r>
      <w:r w:rsidR="00E219B1" w:rsidRPr="00A15B03">
        <w:rPr>
          <w:sz w:val="26"/>
          <w:szCs w:val="26"/>
          <w:lang w:val="uk-UA"/>
        </w:rPr>
        <w:t>201</w:t>
      </w:r>
      <w:r w:rsidR="00325D18" w:rsidRPr="00A15B03">
        <w:rPr>
          <w:sz w:val="26"/>
          <w:szCs w:val="26"/>
          <w:lang w:val="uk-UA"/>
        </w:rPr>
        <w:t>6</w:t>
      </w:r>
      <w:r w:rsidR="00E219B1" w:rsidRPr="00A15B03">
        <w:rPr>
          <w:sz w:val="26"/>
          <w:szCs w:val="26"/>
          <w:lang w:val="uk-UA"/>
        </w:rPr>
        <w:t xml:space="preserve"> року</w:t>
      </w:r>
      <w:r w:rsidR="00FF12A7" w:rsidRPr="00A15B03">
        <w:rPr>
          <w:sz w:val="26"/>
          <w:szCs w:val="26"/>
          <w:lang w:val="uk-UA"/>
        </w:rPr>
        <w:t xml:space="preserve">  спеціалістами  юридичного сектору   підготовлено та направлено  </w:t>
      </w:r>
      <w:r w:rsidR="00BB29A2">
        <w:rPr>
          <w:sz w:val="26"/>
          <w:szCs w:val="26"/>
          <w:lang w:val="uk-UA"/>
        </w:rPr>
        <w:t>9</w:t>
      </w:r>
      <w:r w:rsidR="00FF12A7" w:rsidRPr="00A15B03">
        <w:rPr>
          <w:sz w:val="26"/>
          <w:szCs w:val="26"/>
          <w:lang w:val="uk-UA"/>
        </w:rPr>
        <w:t xml:space="preserve"> позовн</w:t>
      </w:r>
      <w:r w:rsidR="00766177" w:rsidRPr="00A15B03">
        <w:rPr>
          <w:sz w:val="26"/>
          <w:szCs w:val="26"/>
          <w:lang w:val="uk-UA"/>
        </w:rPr>
        <w:t>их</w:t>
      </w:r>
      <w:r w:rsidR="00FF12A7" w:rsidRPr="00A15B03">
        <w:rPr>
          <w:sz w:val="26"/>
          <w:szCs w:val="26"/>
          <w:lang w:val="uk-UA"/>
        </w:rPr>
        <w:t xml:space="preserve"> заяв  до Луганського окружного адміністративного суду з питань  стягнення  заборгованості по відшкодуванню фактичних витр</w:t>
      </w:r>
      <w:r w:rsidR="00783F5A" w:rsidRPr="00A15B03">
        <w:rPr>
          <w:sz w:val="26"/>
          <w:szCs w:val="26"/>
          <w:lang w:val="uk-UA"/>
        </w:rPr>
        <w:t>ат на  виплату пільгових пенсій</w:t>
      </w:r>
      <w:r w:rsidR="00D03567" w:rsidRPr="00A15B03">
        <w:rPr>
          <w:sz w:val="26"/>
          <w:szCs w:val="26"/>
          <w:lang w:val="uk-UA"/>
        </w:rPr>
        <w:t xml:space="preserve"> на суму </w:t>
      </w:r>
      <w:r w:rsidR="00BB29A2">
        <w:rPr>
          <w:sz w:val="26"/>
          <w:szCs w:val="26"/>
          <w:lang w:val="uk-UA"/>
        </w:rPr>
        <w:t>783,1</w:t>
      </w:r>
      <w:r w:rsidR="00E90D46" w:rsidRPr="00A15B03">
        <w:rPr>
          <w:sz w:val="26"/>
          <w:szCs w:val="26"/>
          <w:lang w:val="uk-UA"/>
        </w:rPr>
        <w:t xml:space="preserve"> </w:t>
      </w:r>
      <w:proofErr w:type="spellStart"/>
      <w:r w:rsidR="00D03567" w:rsidRPr="00A15B03">
        <w:rPr>
          <w:sz w:val="26"/>
          <w:szCs w:val="26"/>
          <w:lang w:val="uk-UA"/>
        </w:rPr>
        <w:t>тис.грн</w:t>
      </w:r>
      <w:proofErr w:type="spellEnd"/>
      <w:r w:rsidR="00F17D77" w:rsidRPr="00A15B03">
        <w:rPr>
          <w:sz w:val="26"/>
          <w:szCs w:val="26"/>
          <w:lang w:val="uk-UA"/>
        </w:rPr>
        <w:t>. При</w:t>
      </w:r>
      <w:r w:rsidR="00D03567" w:rsidRPr="00A15B03">
        <w:rPr>
          <w:sz w:val="26"/>
          <w:szCs w:val="26"/>
          <w:lang w:val="uk-UA"/>
        </w:rPr>
        <w:t xml:space="preserve">йнято участь у </w:t>
      </w:r>
      <w:r w:rsidR="00BB29A2">
        <w:rPr>
          <w:sz w:val="26"/>
          <w:szCs w:val="26"/>
          <w:lang w:val="uk-UA"/>
        </w:rPr>
        <w:t>255</w:t>
      </w:r>
      <w:r w:rsidR="00FF12A7" w:rsidRPr="00A15B03">
        <w:rPr>
          <w:sz w:val="26"/>
          <w:szCs w:val="26"/>
          <w:lang w:val="uk-UA"/>
        </w:rPr>
        <w:t xml:space="preserve"> судових засіданнях,  де  були представлені  інтереси  управління.</w:t>
      </w:r>
      <w:r w:rsidR="00FF12A7" w:rsidRPr="001C43C5">
        <w:rPr>
          <w:sz w:val="26"/>
          <w:szCs w:val="26"/>
          <w:lang w:val="uk-UA"/>
        </w:rPr>
        <w:t xml:space="preserve"> </w:t>
      </w:r>
    </w:p>
    <w:p w:rsidR="004B0A6D" w:rsidRPr="004B0A6D" w:rsidRDefault="00FF12A7" w:rsidP="004B0A6D">
      <w:pPr>
        <w:ind w:firstLine="709"/>
        <w:jc w:val="both"/>
        <w:rPr>
          <w:sz w:val="26"/>
          <w:szCs w:val="26"/>
          <w:lang w:val="uk-UA"/>
        </w:rPr>
      </w:pPr>
      <w:r w:rsidRPr="004A00B7">
        <w:rPr>
          <w:b/>
          <w:sz w:val="26"/>
          <w:szCs w:val="26"/>
          <w:lang w:val="uk-UA"/>
        </w:rPr>
        <w:t xml:space="preserve">      </w:t>
      </w:r>
      <w:r w:rsidRPr="004A00B7">
        <w:rPr>
          <w:sz w:val="26"/>
          <w:szCs w:val="26"/>
          <w:lang w:val="uk-UA"/>
        </w:rPr>
        <w:t xml:space="preserve">З метою здійснення контролю за цільовим  використанням коштів  управлінням проведено </w:t>
      </w:r>
      <w:r w:rsidR="00142BEC" w:rsidRPr="004A00B7">
        <w:rPr>
          <w:sz w:val="26"/>
          <w:szCs w:val="26"/>
        </w:rPr>
        <w:t xml:space="preserve">21 </w:t>
      </w:r>
      <w:r w:rsidRPr="004A00B7">
        <w:rPr>
          <w:sz w:val="26"/>
          <w:szCs w:val="26"/>
          <w:lang w:val="uk-UA"/>
        </w:rPr>
        <w:t>перевір</w:t>
      </w:r>
      <w:r w:rsidR="004B0A6D" w:rsidRPr="004A00B7">
        <w:rPr>
          <w:sz w:val="26"/>
          <w:szCs w:val="26"/>
          <w:lang w:val="uk-UA"/>
        </w:rPr>
        <w:t>ки</w:t>
      </w:r>
      <w:r w:rsidRPr="004A00B7">
        <w:rPr>
          <w:sz w:val="26"/>
          <w:szCs w:val="26"/>
          <w:lang w:val="uk-UA"/>
        </w:rPr>
        <w:t xml:space="preserve">  повноти  та  своєчасності зарахування пенсій  та грошової допомоги  на поточні рахунки одержув</w:t>
      </w:r>
      <w:r w:rsidR="00D924A9" w:rsidRPr="004A00B7">
        <w:rPr>
          <w:sz w:val="26"/>
          <w:szCs w:val="26"/>
          <w:lang w:val="uk-UA"/>
        </w:rPr>
        <w:t xml:space="preserve">ачів  в банківських установах, </w:t>
      </w:r>
      <w:r w:rsidR="004B0A6D" w:rsidRPr="004A00B7">
        <w:rPr>
          <w:sz w:val="26"/>
          <w:szCs w:val="26"/>
          <w:lang w:val="uk-UA"/>
        </w:rPr>
        <w:t>4</w:t>
      </w:r>
      <w:r w:rsidR="00D924A9" w:rsidRPr="004A00B7">
        <w:rPr>
          <w:sz w:val="26"/>
          <w:szCs w:val="26"/>
          <w:lang w:val="uk-UA"/>
        </w:rPr>
        <w:t xml:space="preserve"> перевірк</w:t>
      </w:r>
      <w:r w:rsidR="00040341" w:rsidRPr="004A00B7">
        <w:rPr>
          <w:sz w:val="26"/>
          <w:szCs w:val="26"/>
          <w:lang w:val="uk-UA"/>
        </w:rPr>
        <w:t>и</w:t>
      </w:r>
      <w:r w:rsidRPr="004A00B7">
        <w:rPr>
          <w:sz w:val="26"/>
          <w:szCs w:val="26"/>
          <w:lang w:val="uk-UA"/>
        </w:rPr>
        <w:t xml:space="preserve"> Старобільсько</w:t>
      </w:r>
      <w:r w:rsidR="00B40C28" w:rsidRPr="004A00B7">
        <w:rPr>
          <w:sz w:val="26"/>
          <w:szCs w:val="26"/>
          <w:lang w:val="uk-UA"/>
        </w:rPr>
        <w:t xml:space="preserve">го Центру поштового зв’язку та </w:t>
      </w:r>
      <w:r w:rsidR="00C6637C" w:rsidRPr="004A00B7">
        <w:rPr>
          <w:sz w:val="26"/>
          <w:szCs w:val="26"/>
          <w:lang w:val="uk-UA"/>
        </w:rPr>
        <w:t>2</w:t>
      </w:r>
      <w:proofErr w:type="spellStart"/>
      <w:r w:rsidR="00142BEC" w:rsidRPr="004A00B7">
        <w:rPr>
          <w:sz w:val="26"/>
          <w:szCs w:val="26"/>
        </w:rPr>
        <w:t>2</w:t>
      </w:r>
      <w:proofErr w:type="spellEnd"/>
      <w:r w:rsidRPr="004A00B7">
        <w:rPr>
          <w:sz w:val="26"/>
          <w:szCs w:val="26"/>
          <w:lang w:val="uk-UA"/>
        </w:rPr>
        <w:t xml:space="preserve"> перевір</w:t>
      </w:r>
      <w:r w:rsidR="004B0A6D" w:rsidRPr="004A00B7">
        <w:rPr>
          <w:sz w:val="26"/>
          <w:szCs w:val="26"/>
          <w:lang w:val="uk-UA"/>
        </w:rPr>
        <w:t>ки</w:t>
      </w:r>
      <w:r w:rsidRPr="004A00B7">
        <w:rPr>
          <w:sz w:val="26"/>
          <w:szCs w:val="26"/>
          <w:lang w:val="uk-UA"/>
        </w:rPr>
        <w:t xml:space="preserve">  поштових  відділень щодо  своєчасності  </w:t>
      </w:r>
      <w:r w:rsidR="00040341" w:rsidRPr="004A00B7">
        <w:rPr>
          <w:sz w:val="26"/>
          <w:szCs w:val="26"/>
          <w:lang w:val="uk-UA"/>
        </w:rPr>
        <w:t xml:space="preserve">та правильності  виплати пенсій, </w:t>
      </w:r>
      <w:r w:rsidR="00C6637C" w:rsidRPr="004A00B7">
        <w:rPr>
          <w:sz w:val="26"/>
          <w:szCs w:val="26"/>
          <w:lang w:val="uk-UA"/>
        </w:rPr>
        <w:t>2</w:t>
      </w:r>
      <w:r w:rsidR="00040341" w:rsidRPr="004A00B7">
        <w:rPr>
          <w:sz w:val="26"/>
          <w:szCs w:val="26"/>
          <w:lang w:val="uk-UA"/>
        </w:rPr>
        <w:t xml:space="preserve"> перевірк</w:t>
      </w:r>
      <w:r w:rsidR="00335E14" w:rsidRPr="004A00B7">
        <w:rPr>
          <w:sz w:val="26"/>
          <w:szCs w:val="26"/>
          <w:lang w:val="uk-UA"/>
        </w:rPr>
        <w:t>и</w:t>
      </w:r>
      <w:r w:rsidR="00040341" w:rsidRPr="004A00B7">
        <w:rPr>
          <w:sz w:val="26"/>
          <w:szCs w:val="26"/>
          <w:lang w:val="uk-UA"/>
        </w:rPr>
        <w:t xml:space="preserve"> цільового використання коштів</w:t>
      </w:r>
      <w:r w:rsidR="001D1A83" w:rsidRPr="004A00B7">
        <w:rPr>
          <w:sz w:val="26"/>
          <w:szCs w:val="26"/>
          <w:lang w:val="uk-UA"/>
        </w:rPr>
        <w:t xml:space="preserve"> ПФУ установами, де ос</w:t>
      </w:r>
      <w:r w:rsidR="00490697" w:rsidRPr="004A00B7">
        <w:rPr>
          <w:sz w:val="26"/>
          <w:szCs w:val="26"/>
          <w:lang w:val="uk-UA"/>
        </w:rPr>
        <w:t>о</w:t>
      </w:r>
      <w:r w:rsidR="001D1A83" w:rsidRPr="004A00B7">
        <w:rPr>
          <w:sz w:val="26"/>
          <w:szCs w:val="26"/>
          <w:lang w:val="uk-UA"/>
        </w:rPr>
        <w:t>б</w:t>
      </w:r>
      <w:r w:rsidR="00490697" w:rsidRPr="004A00B7">
        <w:rPr>
          <w:sz w:val="26"/>
          <w:szCs w:val="26"/>
          <w:lang w:val="uk-UA"/>
        </w:rPr>
        <w:t>и</w:t>
      </w:r>
      <w:r w:rsidR="001D1A83" w:rsidRPr="004A00B7">
        <w:rPr>
          <w:sz w:val="26"/>
          <w:szCs w:val="26"/>
          <w:lang w:val="uk-UA"/>
        </w:rPr>
        <w:t xml:space="preserve"> перебувають на повному державному утриманні</w:t>
      </w:r>
      <w:r w:rsidR="008F22F9" w:rsidRPr="004A00B7">
        <w:rPr>
          <w:sz w:val="26"/>
          <w:szCs w:val="26"/>
          <w:lang w:val="uk-UA"/>
        </w:rPr>
        <w:t>.</w:t>
      </w:r>
      <w:r w:rsidR="004B0A6D" w:rsidRPr="004A00B7">
        <w:rPr>
          <w:sz w:val="26"/>
          <w:szCs w:val="26"/>
          <w:lang w:val="uk-UA"/>
        </w:rPr>
        <w:t xml:space="preserve"> За результатами перевірок поштових відділен</w:t>
      </w:r>
      <w:r w:rsidR="006D7E0F">
        <w:rPr>
          <w:sz w:val="26"/>
          <w:szCs w:val="26"/>
          <w:lang w:val="uk-UA"/>
        </w:rPr>
        <w:t>ь</w:t>
      </w:r>
      <w:r w:rsidR="004B0A6D" w:rsidRPr="004A00B7">
        <w:rPr>
          <w:sz w:val="26"/>
          <w:szCs w:val="26"/>
          <w:lang w:val="uk-UA"/>
        </w:rPr>
        <w:t xml:space="preserve"> зв’язку встановлено 5 випадків порушення  Інструкції про виплату та доставку пенсій, соціальних </w:t>
      </w:r>
      <w:proofErr w:type="spellStart"/>
      <w:r w:rsidR="004B0A6D" w:rsidRPr="004A00B7">
        <w:rPr>
          <w:sz w:val="26"/>
          <w:szCs w:val="26"/>
          <w:lang w:val="uk-UA"/>
        </w:rPr>
        <w:t>допомог</w:t>
      </w:r>
      <w:proofErr w:type="spellEnd"/>
      <w:r w:rsidR="004B0A6D" w:rsidRPr="004A00B7">
        <w:rPr>
          <w:sz w:val="26"/>
          <w:szCs w:val="26"/>
          <w:lang w:val="uk-UA"/>
        </w:rPr>
        <w:t xml:space="preserve"> національним оператором поштового зв'язку ( ПВЗ “</w:t>
      </w:r>
      <w:proofErr w:type="spellStart"/>
      <w:r w:rsidR="004B0A6D" w:rsidRPr="004A00B7">
        <w:rPr>
          <w:sz w:val="26"/>
          <w:szCs w:val="26"/>
          <w:lang w:val="uk-UA"/>
        </w:rPr>
        <w:t>Чмирівка”</w:t>
      </w:r>
      <w:proofErr w:type="spellEnd"/>
      <w:r w:rsidR="004B0A6D" w:rsidRPr="004A00B7">
        <w:rPr>
          <w:sz w:val="26"/>
          <w:szCs w:val="26"/>
          <w:lang w:val="uk-UA"/>
        </w:rPr>
        <w:t xml:space="preserve">, Пересувного відділення поштового зв’язку – </w:t>
      </w:r>
      <w:r w:rsidR="00F66716" w:rsidRPr="004A00B7">
        <w:rPr>
          <w:sz w:val="26"/>
          <w:szCs w:val="26"/>
          <w:lang w:val="uk-UA"/>
        </w:rPr>
        <w:t>9</w:t>
      </w:r>
      <w:r w:rsidR="004A00B7" w:rsidRPr="004A00B7">
        <w:rPr>
          <w:sz w:val="26"/>
          <w:szCs w:val="26"/>
          <w:lang w:val="uk-UA"/>
        </w:rPr>
        <w:t xml:space="preserve"> </w:t>
      </w:r>
      <w:r w:rsidR="006D7E0F">
        <w:rPr>
          <w:sz w:val="26"/>
          <w:szCs w:val="26"/>
          <w:lang w:val="uk-UA"/>
        </w:rPr>
        <w:t>,</w:t>
      </w:r>
      <w:r w:rsidR="004B0A6D" w:rsidRPr="004A00B7">
        <w:rPr>
          <w:sz w:val="26"/>
          <w:szCs w:val="26"/>
          <w:lang w:val="uk-UA"/>
        </w:rPr>
        <w:t>“</w:t>
      </w:r>
      <w:proofErr w:type="spellStart"/>
      <w:r w:rsidR="004B0A6D" w:rsidRPr="004A00B7">
        <w:rPr>
          <w:sz w:val="26"/>
          <w:szCs w:val="26"/>
          <w:lang w:val="uk-UA"/>
        </w:rPr>
        <w:t>Калмиківка</w:t>
      </w:r>
      <w:proofErr w:type="spellEnd"/>
      <w:r w:rsidR="004B0A6D" w:rsidRPr="004A00B7">
        <w:rPr>
          <w:sz w:val="26"/>
          <w:szCs w:val="26"/>
          <w:lang w:val="uk-UA"/>
        </w:rPr>
        <w:t xml:space="preserve"> “, </w:t>
      </w:r>
      <w:r w:rsidR="004B0A6D" w:rsidRPr="004B0A6D">
        <w:rPr>
          <w:sz w:val="26"/>
          <w:szCs w:val="26"/>
          <w:lang w:val="uk-UA"/>
        </w:rPr>
        <w:t>“</w:t>
      </w:r>
      <w:proofErr w:type="spellStart"/>
      <w:r w:rsidR="004B0A6D" w:rsidRPr="004B0A6D">
        <w:rPr>
          <w:sz w:val="26"/>
          <w:szCs w:val="26"/>
          <w:lang w:val="uk-UA"/>
        </w:rPr>
        <w:t>Маринівка”</w:t>
      </w:r>
      <w:proofErr w:type="spellEnd"/>
      <w:r w:rsidR="004B0A6D" w:rsidRPr="004B0A6D">
        <w:rPr>
          <w:sz w:val="26"/>
          <w:szCs w:val="26"/>
          <w:lang w:val="uk-UA"/>
        </w:rPr>
        <w:t xml:space="preserve"> та  “Нижня </w:t>
      </w:r>
      <w:proofErr w:type="spellStart"/>
      <w:r w:rsidR="004B0A6D" w:rsidRPr="004B0A6D">
        <w:rPr>
          <w:sz w:val="26"/>
          <w:szCs w:val="26"/>
          <w:lang w:val="uk-UA"/>
        </w:rPr>
        <w:t>Покровка”</w:t>
      </w:r>
      <w:proofErr w:type="spellEnd"/>
      <w:r w:rsidR="00A73AE9">
        <w:rPr>
          <w:sz w:val="26"/>
          <w:szCs w:val="26"/>
          <w:lang w:val="uk-UA"/>
        </w:rPr>
        <w:t>).</w:t>
      </w:r>
    </w:p>
    <w:p w:rsidR="008F22F9" w:rsidRPr="002330A8" w:rsidRDefault="008F22F9" w:rsidP="008F22F9">
      <w:pPr>
        <w:jc w:val="both"/>
        <w:rPr>
          <w:sz w:val="26"/>
          <w:szCs w:val="26"/>
          <w:lang w:val="uk-UA"/>
        </w:rPr>
      </w:pPr>
      <w:r w:rsidRPr="00BB29A2">
        <w:rPr>
          <w:b/>
          <w:sz w:val="26"/>
          <w:szCs w:val="26"/>
          <w:lang w:val="uk-UA"/>
        </w:rPr>
        <w:t xml:space="preserve">       </w:t>
      </w:r>
      <w:r w:rsidR="00772B09" w:rsidRPr="00BB29A2">
        <w:rPr>
          <w:b/>
          <w:sz w:val="26"/>
          <w:szCs w:val="26"/>
          <w:lang w:val="uk-UA"/>
        </w:rPr>
        <w:t xml:space="preserve">  </w:t>
      </w:r>
      <w:r w:rsidRPr="00BB29A2">
        <w:rPr>
          <w:b/>
          <w:sz w:val="26"/>
          <w:szCs w:val="26"/>
          <w:lang w:val="uk-UA"/>
        </w:rPr>
        <w:t xml:space="preserve">  </w:t>
      </w:r>
      <w:r w:rsidR="005D290F" w:rsidRPr="002330A8">
        <w:rPr>
          <w:sz w:val="26"/>
          <w:szCs w:val="26"/>
          <w:lang w:val="uk-UA"/>
        </w:rPr>
        <w:t>Відповідно до</w:t>
      </w:r>
      <w:r w:rsidRPr="002330A8">
        <w:rPr>
          <w:sz w:val="26"/>
          <w:szCs w:val="26"/>
          <w:lang w:val="uk-UA"/>
        </w:rPr>
        <w:t xml:space="preserve"> службових записок відділу з питань призначення, перерахунку та виплати пенсій та відділу обслуговування громадян, проведено </w:t>
      </w:r>
      <w:r w:rsidR="00142BEC" w:rsidRPr="000343D9">
        <w:rPr>
          <w:sz w:val="26"/>
          <w:szCs w:val="26"/>
          <w:lang w:val="uk-UA"/>
        </w:rPr>
        <w:t>2</w:t>
      </w:r>
      <w:r w:rsidR="004B0A6D">
        <w:rPr>
          <w:sz w:val="26"/>
          <w:szCs w:val="26"/>
          <w:lang w:val="uk-UA"/>
        </w:rPr>
        <w:t>09</w:t>
      </w:r>
      <w:r w:rsidRPr="002330A8">
        <w:rPr>
          <w:sz w:val="26"/>
          <w:szCs w:val="26"/>
          <w:lang w:val="uk-UA"/>
        </w:rPr>
        <w:t xml:space="preserve"> зустрічних перевірок в межах регіону на підприємствах та в установах щодо достовірності видачі довідок про стаж та заробітну плату для обчислення пенсії та </w:t>
      </w:r>
      <w:r w:rsidR="004B0A6D">
        <w:rPr>
          <w:sz w:val="26"/>
          <w:szCs w:val="26"/>
          <w:lang w:val="uk-UA"/>
        </w:rPr>
        <w:t>46</w:t>
      </w:r>
      <w:r w:rsidRPr="002330A8">
        <w:rPr>
          <w:sz w:val="26"/>
          <w:szCs w:val="26"/>
          <w:lang w:val="uk-UA"/>
        </w:rPr>
        <w:t xml:space="preserve"> зустрічних перевірок на запити з інших регіонів, всьог</w:t>
      </w:r>
      <w:r w:rsidR="00C6637C" w:rsidRPr="002330A8">
        <w:rPr>
          <w:sz w:val="26"/>
          <w:szCs w:val="26"/>
          <w:lang w:val="uk-UA"/>
        </w:rPr>
        <w:t xml:space="preserve">о проведено </w:t>
      </w:r>
      <w:r w:rsidR="004B0A6D">
        <w:rPr>
          <w:sz w:val="26"/>
          <w:szCs w:val="26"/>
          <w:lang w:val="uk-UA"/>
        </w:rPr>
        <w:t>255</w:t>
      </w:r>
      <w:r w:rsidR="00481149" w:rsidRPr="002330A8">
        <w:rPr>
          <w:sz w:val="26"/>
          <w:szCs w:val="26"/>
          <w:lang w:val="uk-UA"/>
        </w:rPr>
        <w:t xml:space="preserve"> перевір</w:t>
      </w:r>
      <w:r w:rsidR="008636A6">
        <w:rPr>
          <w:sz w:val="26"/>
          <w:szCs w:val="26"/>
          <w:lang w:val="uk-UA"/>
        </w:rPr>
        <w:t>ок</w:t>
      </w:r>
      <w:r w:rsidR="00481149" w:rsidRPr="002330A8">
        <w:rPr>
          <w:sz w:val="26"/>
          <w:szCs w:val="26"/>
          <w:lang w:val="uk-UA"/>
        </w:rPr>
        <w:t>. За ре</w:t>
      </w:r>
      <w:r w:rsidRPr="002330A8">
        <w:rPr>
          <w:sz w:val="26"/>
          <w:szCs w:val="26"/>
          <w:lang w:val="uk-UA"/>
        </w:rPr>
        <w:t>зультатами контрольних з</w:t>
      </w:r>
      <w:r w:rsidR="00481149" w:rsidRPr="002330A8">
        <w:rPr>
          <w:sz w:val="26"/>
          <w:szCs w:val="26"/>
          <w:lang w:val="uk-UA"/>
        </w:rPr>
        <w:t>а</w:t>
      </w:r>
      <w:r w:rsidRPr="002330A8">
        <w:rPr>
          <w:sz w:val="26"/>
          <w:szCs w:val="26"/>
          <w:lang w:val="uk-UA"/>
        </w:rPr>
        <w:t>ходів виявлено 1</w:t>
      </w:r>
      <w:r w:rsidR="00C6637C" w:rsidRPr="002330A8">
        <w:rPr>
          <w:sz w:val="26"/>
          <w:szCs w:val="26"/>
          <w:lang w:val="uk-UA"/>
        </w:rPr>
        <w:t>6</w:t>
      </w:r>
      <w:r w:rsidRPr="002330A8">
        <w:rPr>
          <w:sz w:val="26"/>
          <w:szCs w:val="26"/>
          <w:lang w:val="uk-UA"/>
        </w:rPr>
        <w:t xml:space="preserve"> переплат</w:t>
      </w:r>
      <w:r w:rsidR="00481149" w:rsidRPr="002330A8">
        <w:rPr>
          <w:sz w:val="26"/>
          <w:szCs w:val="26"/>
          <w:lang w:val="uk-UA"/>
        </w:rPr>
        <w:t xml:space="preserve"> пенсій</w:t>
      </w:r>
      <w:r w:rsidRPr="002330A8">
        <w:rPr>
          <w:sz w:val="26"/>
          <w:szCs w:val="26"/>
          <w:lang w:val="uk-UA"/>
        </w:rPr>
        <w:t xml:space="preserve"> на суму </w:t>
      </w:r>
      <w:r w:rsidR="00C6637C" w:rsidRPr="002330A8">
        <w:rPr>
          <w:sz w:val="26"/>
          <w:szCs w:val="26"/>
          <w:lang w:val="uk-UA"/>
        </w:rPr>
        <w:t>4107,29</w:t>
      </w:r>
      <w:r w:rsidRPr="002330A8">
        <w:rPr>
          <w:sz w:val="26"/>
          <w:szCs w:val="26"/>
          <w:lang w:val="uk-UA"/>
        </w:rPr>
        <w:t xml:space="preserve"> грн., та 1</w:t>
      </w:r>
      <w:r w:rsidR="00C6637C" w:rsidRPr="002330A8">
        <w:rPr>
          <w:sz w:val="26"/>
          <w:szCs w:val="26"/>
          <w:lang w:val="uk-UA"/>
        </w:rPr>
        <w:t>1</w:t>
      </w:r>
      <w:r w:rsidRPr="002330A8">
        <w:rPr>
          <w:sz w:val="26"/>
          <w:szCs w:val="26"/>
          <w:lang w:val="uk-UA"/>
        </w:rPr>
        <w:t xml:space="preserve"> недоплат на суму 457,28 грн. </w:t>
      </w:r>
    </w:p>
    <w:p w:rsidR="00FF12A7" w:rsidRPr="002330A8" w:rsidRDefault="00481149" w:rsidP="00217C6E">
      <w:pPr>
        <w:ind w:firstLine="360"/>
        <w:jc w:val="both"/>
        <w:rPr>
          <w:sz w:val="26"/>
          <w:szCs w:val="26"/>
          <w:lang w:val="uk-UA"/>
        </w:rPr>
      </w:pPr>
      <w:r w:rsidRPr="002330A8">
        <w:rPr>
          <w:sz w:val="26"/>
          <w:szCs w:val="26"/>
          <w:lang w:val="uk-UA"/>
        </w:rPr>
        <w:t xml:space="preserve">  </w:t>
      </w:r>
      <w:r w:rsidR="00772B09" w:rsidRPr="002330A8">
        <w:rPr>
          <w:sz w:val="26"/>
          <w:szCs w:val="26"/>
          <w:lang w:val="uk-UA"/>
        </w:rPr>
        <w:t xml:space="preserve">  </w:t>
      </w:r>
      <w:r w:rsidR="00FF12A7" w:rsidRPr="002330A8">
        <w:rPr>
          <w:sz w:val="26"/>
          <w:szCs w:val="26"/>
          <w:lang w:val="uk-UA"/>
        </w:rPr>
        <w:t>Крім  того,  проведено:</w:t>
      </w:r>
    </w:p>
    <w:p w:rsidR="009D1801" w:rsidRPr="002330A8" w:rsidRDefault="00FF12A7" w:rsidP="00217C6E">
      <w:pPr>
        <w:ind w:firstLine="360"/>
        <w:jc w:val="both"/>
        <w:rPr>
          <w:sz w:val="26"/>
          <w:szCs w:val="26"/>
          <w:lang w:val="uk-UA"/>
        </w:rPr>
      </w:pPr>
      <w:r w:rsidRPr="002330A8">
        <w:rPr>
          <w:sz w:val="26"/>
          <w:szCs w:val="26"/>
          <w:lang w:val="uk-UA"/>
        </w:rPr>
        <w:lastRenderedPageBreak/>
        <w:t xml:space="preserve">- </w:t>
      </w:r>
      <w:r w:rsidR="00A056B4">
        <w:rPr>
          <w:sz w:val="26"/>
          <w:szCs w:val="26"/>
          <w:lang w:val="uk-UA"/>
        </w:rPr>
        <w:t>58</w:t>
      </w:r>
      <w:r w:rsidR="00FA545C" w:rsidRPr="002330A8">
        <w:rPr>
          <w:sz w:val="26"/>
          <w:szCs w:val="26"/>
          <w:lang w:val="uk-UA"/>
        </w:rPr>
        <w:t xml:space="preserve"> позапланових</w:t>
      </w:r>
      <w:r w:rsidRPr="002330A8">
        <w:rPr>
          <w:sz w:val="26"/>
          <w:szCs w:val="26"/>
          <w:lang w:val="uk-UA"/>
        </w:rPr>
        <w:t xml:space="preserve"> перевір</w:t>
      </w:r>
      <w:r w:rsidR="008636A6">
        <w:rPr>
          <w:sz w:val="26"/>
          <w:szCs w:val="26"/>
          <w:lang w:val="uk-UA"/>
        </w:rPr>
        <w:t>ок</w:t>
      </w:r>
      <w:r w:rsidR="00FA545C" w:rsidRPr="002330A8">
        <w:rPr>
          <w:sz w:val="26"/>
          <w:szCs w:val="26"/>
          <w:lang w:val="uk-UA"/>
        </w:rPr>
        <w:t xml:space="preserve"> суб’єктів господарювання</w:t>
      </w:r>
      <w:r w:rsidR="006A47FA" w:rsidRPr="006A47FA">
        <w:rPr>
          <w:sz w:val="26"/>
          <w:szCs w:val="26"/>
          <w:lang w:val="uk-UA"/>
        </w:rPr>
        <w:t xml:space="preserve"> </w:t>
      </w:r>
      <w:r w:rsidR="006A47FA" w:rsidRPr="002330A8">
        <w:rPr>
          <w:sz w:val="26"/>
          <w:szCs w:val="26"/>
          <w:lang w:val="uk-UA"/>
        </w:rPr>
        <w:t>з питань дотримання платником чинного законодавства щодо надання достовірних відомостей про застрахованих осіб, що використовуються в системі загальнообов’язкового державного пенсійного страхування</w:t>
      </w:r>
      <w:r w:rsidR="006A47FA">
        <w:rPr>
          <w:sz w:val="26"/>
          <w:szCs w:val="26"/>
          <w:lang w:val="uk-UA"/>
        </w:rPr>
        <w:t>.</w:t>
      </w:r>
      <w:r w:rsidRPr="002330A8">
        <w:rPr>
          <w:sz w:val="26"/>
          <w:szCs w:val="26"/>
          <w:lang w:val="uk-UA"/>
        </w:rPr>
        <w:t xml:space="preserve"> </w:t>
      </w:r>
    </w:p>
    <w:p w:rsidR="00056B48" w:rsidRPr="002330A8" w:rsidRDefault="00056B48" w:rsidP="00217C6E">
      <w:pPr>
        <w:ind w:firstLine="360"/>
        <w:jc w:val="both"/>
        <w:rPr>
          <w:sz w:val="26"/>
          <w:szCs w:val="26"/>
          <w:lang w:val="uk-UA"/>
        </w:rPr>
      </w:pPr>
      <w:r w:rsidRPr="002330A8">
        <w:rPr>
          <w:sz w:val="26"/>
          <w:szCs w:val="26"/>
          <w:lang w:val="uk-UA"/>
        </w:rPr>
        <w:t xml:space="preserve">    За результатами перевірок складено </w:t>
      </w:r>
      <w:r w:rsidR="00A056B4">
        <w:rPr>
          <w:sz w:val="26"/>
          <w:szCs w:val="26"/>
          <w:lang w:val="uk-UA"/>
        </w:rPr>
        <w:t>50</w:t>
      </w:r>
      <w:r w:rsidRPr="002330A8">
        <w:rPr>
          <w:sz w:val="26"/>
          <w:szCs w:val="26"/>
          <w:lang w:val="uk-UA"/>
        </w:rPr>
        <w:t xml:space="preserve"> розпоряджен</w:t>
      </w:r>
      <w:r w:rsidR="008636A6">
        <w:rPr>
          <w:sz w:val="26"/>
          <w:szCs w:val="26"/>
          <w:lang w:val="uk-UA"/>
        </w:rPr>
        <w:t>ь</w:t>
      </w:r>
      <w:r w:rsidRPr="002330A8">
        <w:rPr>
          <w:sz w:val="26"/>
          <w:szCs w:val="26"/>
          <w:lang w:val="uk-UA"/>
        </w:rPr>
        <w:t xml:space="preserve"> </w:t>
      </w:r>
      <w:r w:rsidR="000F43BA" w:rsidRPr="002330A8">
        <w:rPr>
          <w:sz w:val="26"/>
          <w:szCs w:val="26"/>
          <w:lang w:val="uk-UA"/>
        </w:rPr>
        <w:t>щодо усунення порушень.</w:t>
      </w:r>
    </w:p>
    <w:p w:rsidR="00963FBA" w:rsidRDefault="008636A6" w:rsidP="00217C6E">
      <w:pPr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963FBA">
        <w:rPr>
          <w:sz w:val="26"/>
          <w:szCs w:val="26"/>
          <w:lang w:val="uk-UA"/>
        </w:rPr>
        <w:t>Всього протягом 2016 року проведено 361 перевірку.</w:t>
      </w:r>
      <w:r w:rsidR="00FF12A7" w:rsidRPr="001C43C5">
        <w:rPr>
          <w:sz w:val="26"/>
          <w:szCs w:val="26"/>
          <w:lang w:val="uk-UA"/>
        </w:rPr>
        <w:t xml:space="preserve">    </w:t>
      </w:r>
    </w:p>
    <w:p w:rsidR="00FF12A7" w:rsidRPr="001C43C5" w:rsidRDefault="008636A6" w:rsidP="00217C6E">
      <w:pPr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FF12A7" w:rsidRPr="001C43C5">
        <w:rPr>
          <w:sz w:val="26"/>
          <w:szCs w:val="26"/>
          <w:lang w:val="uk-UA"/>
        </w:rPr>
        <w:t>Управління постійно  працює  над підвищенням  якості прийому  громадян.</w:t>
      </w:r>
    </w:p>
    <w:p w:rsidR="00FF12A7" w:rsidRPr="001C43C5" w:rsidRDefault="00FF12A7" w:rsidP="00F531CA">
      <w:pPr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</w:t>
      </w:r>
      <w:r w:rsidR="002F422D">
        <w:rPr>
          <w:sz w:val="26"/>
          <w:szCs w:val="26"/>
          <w:lang w:val="uk-UA"/>
        </w:rPr>
        <w:t xml:space="preserve">  </w:t>
      </w:r>
      <w:r w:rsidR="00490697">
        <w:rPr>
          <w:sz w:val="26"/>
          <w:szCs w:val="26"/>
          <w:lang w:val="uk-UA"/>
        </w:rPr>
        <w:t>З</w:t>
      </w:r>
      <w:r w:rsidRPr="001C43C5">
        <w:rPr>
          <w:sz w:val="26"/>
          <w:szCs w:val="26"/>
          <w:lang w:val="uk-UA"/>
        </w:rPr>
        <w:t xml:space="preserve">апровадження </w:t>
      </w:r>
      <w:r w:rsidR="005B3B9F" w:rsidRPr="001C43C5">
        <w:rPr>
          <w:sz w:val="26"/>
          <w:szCs w:val="26"/>
          <w:lang w:val="uk-UA"/>
        </w:rPr>
        <w:t>системи прийому громадян за принципом  «єдиного вікна»</w:t>
      </w:r>
      <w:r w:rsidRPr="001C43C5">
        <w:rPr>
          <w:sz w:val="26"/>
          <w:szCs w:val="26"/>
          <w:lang w:val="uk-UA"/>
        </w:rPr>
        <w:t xml:space="preserve">  дозволило відійти від приймальних днів та  забезпечити   підвищення  якості,  відкритості та спрощення  у наданні  соціальних послуг.</w:t>
      </w:r>
      <w:r w:rsidR="005B3B9F" w:rsidRPr="001C43C5">
        <w:rPr>
          <w:sz w:val="26"/>
          <w:szCs w:val="26"/>
          <w:lang w:val="uk-UA"/>
        </w:rPr>
        <w:t xml:space="preserve"> За такою системою протягом </w:t>
      </w:r>
      <w:r w:rsidR="00171BD3">
        <w:rPr>
          <w:sz w:val="26"/>
          <w:szCs w:val="26"/>
          <w:lang w:val="uk-UA"/>
        </w:rPr>
        <w:t xml:space="preserve"> </w:t>
      </w:r>
      <w:r w:rsidR="00090DEB">
        <w:rPr>
          <w:sz w:val="26"/>
          <w:szCs w:val="26"/>
          <w:lang w:val="uk-UA"/>
        </w:rPr>
        <w:t>201</w:t>
      </w:r>
      <w:r w:rsidR="00171BD3">
        <w:rPr>
          <w:sz w:val="26"/>
          <w:szCs w:val="26"/>
          <w:lang w:val="uk-UA"/>
        </w:rPr>
        <w:t>6</w:t>
      </w:r>
      <w:r w:rsidR="00090DEB">
        <w:rPr>
          <w:sz w:val="26"/>
          <w:szCs w:val="26"/>
          <w:lang w:val="uk-UA"/>
        </w:rPr>
        <w:t xml:space="preserve"> року</w:t>
      </w:r>
      <w:r w:rsidRPr="001C43C5">
        <w:rPr>
          <w:sz w:val="26"/>
          <w:szCs w:val="26"/>
          <w:lang w:val="uk-UA"/>
        </w:rPr>
        <w:t xml:space="preserve">   прийнято </w:t>
      </w:r>
      <w:r w:rsidR="00BB29A2">
        <w:rPr>
          <w:sz w:val="26"/>
          <w:szCs w:val="26"/>
          <w:lang w:val="uk-UA"/>
        </w:rPr>
        <w:t>23393</w:t>
      </w:r>
      <w:r w:rsidRPr="001C43C5">
        <w:rPr>
          <w:sz w:val="26"/>
          <w:szCs w:val="26"/>
          <w:lang w:val="uk-UA"/>
        </w:rPr>
        <w:t xml:space="preserve"> громадян</w:t>
      </w:r>
      <w:r w:rsidR="00BB29A2">
        <w:rPr>
          <w:sz w:val="26"/>
          <w:szCs w:val="26"/>
          <w:lang w:val="uk-UA"/>
        </w:rPr>
        <w:t>ина</w:t>
      </w:r>
      <w:r w:rsidRPr="001C43C5">
        <w:rPr>
          <w:sz w:val="26"/>
          <w:szCs w:val="26"/>
          <w:lang w:val="uk-UA"/>
        </w:rPr>
        <w:t xml:space="preserve">. </w:t>
      </w:r>
    </w:p>
    <w:p w:rsidR="00FF12A7" w:rsidRPr="001C43C5" w:rsidRDefault="00FF12A7" w:rsidP="00F531CA">
      <w:pPr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</w:t>
      </w:r>
      <w:r w:rsidR="002F422D">
        <w:rPr>
          <w:sz w:val="26"/>
          <w:szCs w:val="26"/>
          <w:lang w:val="uk-UA"/>
        </w:rPr>
        <w:t xml:space="preserve">  </w:t>
      </w:r>
      <w:r w:rsidRPr="001C43C5">
        <w:rPr>
          <w:sz w:val="26"/>
          <w:szCs w:val="26"/>
          <w:lang w:val="uk-UA"/>
        </w:rPr>
        <w:t xml:space="preserve">Протягом  </w:t>
      </w:r>
      <w:r w:rsidR="00EC4746">
        <w:rPr>
          <w:sz w:val="26"/>
          <w:szCs w:val="26"/>
          <w:lang w:val="uk-UA"/>
        </w:rPr>
        <w:t xml:space="preserve"> </w:t>
      </w:r>
      <w:r w:rsidR="00FA2DEC">
        <w:rPr>
          <w:sz w:val="26"/>
          <w:szCs w:val="26"/>
          <w:lang w:val="uk-UA"/>
        </w:rPr>
        <w:t>201</w:t>
      </w:r>
      <w:r w:rsidR="00EC4746">
        <w:rPr>
          <w:sz w:val="26"/>
          <w:szCs w:val="26"/>
          <w:lang w:val="uk-UA"/>
        </w:rPr>
        <w:t>6</w:t>
      </w:r>
      <w:r w:rsidR="00FA2DEC">
        <w:rPr>
          <w:sz w:val="26"/>
          <w:szCs w:val="26"/>
          <w:lang w:val="uk-UA"/>
        </w:rPr>
        <w:t xml:space="preserve"> </w:t>
      </w:r>
      <w:r w:rsidR="00232391">
        <w:rPr>
          <w:sz w:val="26"/>
          <w:szCs w:val="26"/>
          <w:lang w:val="uk-UA"/>
        </w:rPr>
        <w:t xml:space="preserve">року до  управління надійшло </w:t>
      </w:r>
      <w:r w:rsidR="00BB29A2">
        <w:rPr>
          <w:sz w:val="26"/>
          <w:szCs w:val="26"/>
          <w:lang w:val="uk-UA"/>
        </w:rPr>
        <w:t>103</w:t>
      </w:r>
      <w:r w:rsidRPr="00FA2DEC">
        <w:rPr>
          <w:color w:val="FF0000"/>
          <w:sz w:val="26"/>
          <w:szCs w:val="26"/>
          <w:lang w:val="uk-UA"/>
        </w:rPr>
        <w:t xml:space="preserve"> </w:t>
      </w:r>
      <w:r w:rsidRPr="001C43C5">
        <w:rPr>
          <w:sz w:val="26"/>
          <w:szCs w:val="26"/>
          <w:lang w:val="uk-UA"/>
        </w:rPr>
        <w:t>письмових звернен</w:t>
      </w:r>
      <w:r w:rsidR="008636A6">
        <w:rPr>
          <w:sz w:val="26"/>
          <w:szCs w:val="26"/>
          <w:lang w:val="uk-UA"/>
        </w:rPr>
        <w:t>ь</w:t>
      </w:r>
      <w:r w:rsidRPr="001C43C5">
        <w:rPr>
          <w:sz w:val="26"/>
          <w:szCs w:val="26"/>
          <w:lang w:val="uk-UA"/>
        </w:rPr>
        <w:t xml:space="preserve">, що на </w:t>
      </w:r>
      <w:r w:rsidR="00BC3F1D">
        <w:rPr>
          <w:sz w:val="26"/>
          <w:szCs w:val="26"/>
          <w:lang w:val="uk-UA"/>
        </w:rPr>
        <w:t>60</w:t>
      </w:r>
      <w:r w:rsidR="00A43FCC">
        <w:rPr>
          <w:sz w:val="26"/>
          <w:szCs w:val="26"/>
          <w:lang w:val="uk-UA"/>
        </w:rPr>
        <w:t xml:space="preserve"> звернен</w:t>
      </w:r>
      <w:r w:rsidR="00EC4746">
        <w:rPr>
          <w:sz w:val="26"/>
          <w:szCs w:val="26"/>
          <w:lang w:val="uk-UA"/>
        </w:rPr>
        <w:t>ь</w:t>
      </w:r>
      <w:r w:rsidRPr="001C43C5">
        <w:rPr>
          <w:sz w:val="26"/>
          <w:szCs w:val="26"/>
          <w:lang w:val="uk-UA"/>
        </w:rPr>
        <w:t xml:space="preserve"> </w:t>
      </w:r>
      <w:r w:rsidR="00EC4746">
        <w:rPr>
          <w:sz w:val="26"/>
          <w:szCs w:val="26"/>
          <w:lang w:val="uk-UA"/>
        </w:rPr>
        <w:t>більше</w:t>
      </w:r>
      <w:r w:rsidRPr="001C43C5">
        <w:rPr>
          <w:sz w:val="26"/>
          <w:szCs w:val="26"/>
          <w:lang w:val="uk-UA"/>
        </w:rPr>
        <w:t>, ніж за відповідний період 201</w:t>
      </w:r>
      <w:r w:rsidR="00EC4746">
        <w:rPr>
          <w:sz w:val="26"/>
          <w:szCs w:val="26"/>
          <w:lang w:val="uk-UA"/>
        </w:rPr>
        <w:t>5</w:t>
      </w:r>
      <w:r w:rsidRPr="001C43C5">
        <w:rPr>
          <w:sz w:val="26"/>
          <w:szCs w:val="26"/>
          <w:lang w:val="uk-UA"/>
        </w:rPr>
        <w:t xml:space="preserve"> року. </w:t>
      </w:r>
      <w:r w:rsidR="00BB29A2">
        <w:rPr>
          <w:sz w:val="26"/>
          <w:szCs w:val="26"/>
          <w:lang w:val="uk-UA"/>
        </w:rPr>
        <w:t>99</w:t>
      </w:r>
      <w:r w:rsidRPr="001C43C5">
        <w:rPr>
          <w:sz w:val="26"/>
          <w:szCs w:val="26"/>
          <w:lang w:val="uk-UA"/>
        </w:rPr>
        <w:t xml:space="preserve"> звернен</w:t>
      </w:r>
      <w:r w:rsidR="00BB29A2">
        <w:rPr>
          <w:sz w:val="26"/>
          <w:szCs w:val="26"/>
          <w:lang w:val="uk-UA"/>
        </w:rPr>
        <w:t>ь</w:t>
      </w:r>
      <w:r w:rsidRPr="001C43C5">
        <w:rPr>
          <w:sz w:val="26"/>
          <w:szCs w:val="26"/>
          <w:lang w:val="uk-UA"/>
        </w:rPr>
        <w:t xml:space="preserve">   розглянуті та  вирішені  по суті  поставлених питань  в установлені  законодавством  строки  (  у термін  до  15 днів)</w:t>
      </w:r>
      <w:r w:rsidR="00BC3F1D">
        <w:rPr>
          <w:sz w:val="26"/>
          <w:szCs w:val="26"/>
          <w:lang w:val="uk-UA"/>
        </w:rPr>
        <w:t>, 4 звернення знаходяться на виконанні</w:t>
      </w:r>
      <w:r w:rsidRPr="001C43C5">
        <w:rPr>
          <w:sz w:val="26"/>
          <w:szCs w:val="26"/>
          <w:lang w:val="uk-UA"/>
        </w:rPr>
        <w:t>.</w:t>
      </w:r>
    </w:p>
    <w:p w:rsidR="005D290F" w:rsidRPr="002330A8" w:rsidRDefault="00FF12A7" w:rsidP="00F531CA">
      <w:pPr>
        <w:ind w:firstLine="360"/>
        <w:jc w:val="both"/>
        <w:rPr>
          <w:sz w:val="26"/>
          <w:szCs w:val="26"/>
          <w:lang w:val="uk-UA"/>
        </w:rPr>
      </w:pPr>
      <w:r w:rsidRPr="001C43C5">
        <w:rPr>
          <w:sz w:val="26"/>
          <w:szCs w:val="26"/>
          <w:lang w:val="uk-UA"/>
        </w:rPr>
        <w:t xml:space="preserve">   </w:t>
      </w:r>
      <w:r w:rsidR="002F422D">
        <w:rPr>
          <w:sz w:val="26"/>
          <w:szCs w:val="26"/>
          <w:lang w:val="uk-UA"/>
        </w:rPr>
        <w:t xml:space="preserve">  </w:t>
      </w:r>
      <w:r w:rsidRPr="002330A8">
        <w:rPr>
          <w:sz w:val="26"/>
          <w:szCs w:val="26"/>
          <w:lang w:val="uk-UA"/>
        </w:rPr>
        <w:t>Одним із  напрямків  роботи  управління є необхідність довести до кожного громадянина  в простій і зрозумілій  формі  інформацію  про сучасне пенсійне забезпечення</w:t>
      </w:r>
      <w:r w:rsidR="00F531CA" w:rsidRPr="002330A8">
        <w:rPr>
          <w:sz w:val="26"/>
          <w:szCs w:val="26"/>
          <w:lang w:val="uk-UA"/>
        </w:rPr>
        <w:t>.</w:t>
      </w:r>
      <w:r w:rsidRPr="002330A8">
        <w:rPr>
          <w:sz w:val="26"/>
          <w:szCs w:val="26"/>
          <w:lang w:val="uk-UA"/>
        </w:rPr>
        <w:t xml:space="preserve"> З цією метою  управлінням  використовується  можливість  інформування громадян  через ЗМІ</w:t>
      </w:r>
      <w:r w:rsidR="005D290F" w:rsidRPr="002330A8">
        <w:rPr>
          <w:sz w:val="26"/>
          <w:szCs w:val="26"/>
          <w:lang w:val="uk-UA"/>
        </w:rPr>
        <w:t xml:space="preserve"> та сучасні комунікаційні мережі</w:t>
      </w:r>
      <w:r w:rsidRPr="002330A8">
        <w:rPr>
          <w:sz w:val="26"/>
          <w:szCs w:val="26"/>
          <w:lang w:val="uk-UA"/>
        </w:rPr>
        <w:t xml:space="preserve">, так,  спеціалістами управління </w:t>
      </w:r>
      <w:r w:rsidR="007F2379" w:rsidRPr="002330A8">
        <w:rPr>
          <w:sz w:val="26"/>
          <w:szCs w:val="26"/>
          <w:lang w:val="uk-UA"/>
        </w:rPr>
        <w:t>за звітний період</w:t>
      </w:r>
      <w:r w:rsidRPr="002330A8">
        <w:rPr>
          <w:sz w:val="26"/>
          <w:szCs w:val="26"/>
          <w:lang w:val="uk-UA"/>
        </w:rPr>
        <w:t xml:space="preserve"> підготовлено та оприлюднено </w:t>
      </w:r>
      <w:r w:rsidR="002330A8" w:rsidRPr="002330A8">
        <w:rPr>
          <w:sz w:val="26"/>
          <w:szCs w:val="26"/>
          <w:lang w:val="uk-UA"/>
        </w:rPr>
        <w:t>122</w:t>
      </w:r>
      <w:r w:rsidRPr="002330A8">
        <w:rPr>
          <w:sz w:val="26"/>
          <w:szCs w:val="26"/>
          <w:lang w:val="uk-UA"/>
        </w:rPr>
        <w:t xml:space="preserve"> інформаційно – роз’яснювальн</w:t>
      </w:r>
      <w:r w:rsidR="005C4C44" w:rsidRPr="002330A8">
        <w:rPr>
          <w:sz w:val="26"/>
          <w:szCs w:val="26"/>
          <w:lang w:val="uk-UA"/>
        </w:rPr>
        <w:t>их</w:t>
      </w:r>
      <w:r w:rsidRPr="002330A8">
        <w:rPr>
          <w:sz w:val="26"/>
          <w:szCs w:val="26"/>
          <w:lang w:val="uk-UA"/>
        </w:rPr>
        <w:t xml:space="preserve">  матеріал</w:t>
      </w:r>
      <w:r w:rsidR="005D290F" w:rsidRPr="002330A8">
        <w:rPr>
          <w:sz w:val="26"/>
          <w:szCs w:val="26"/>
          <w:lang w:val="uk-UA"/>
        </w:rPr>
        <w:t>ів.</w:t>
      </w:r>
    </w:p>
    <w:p w:rsidR="00FF12A7" w:rsidRPr="00066015" w:rsidRDefault="00FF12A7" w:rsidP="00F531CA">
      <w:pPr>
        <w:ind w:firstLine="360"/>
        <w:jc w:val="both"/>
        <w:rPr>
          <w:sz w:val="26"/>
          <w:szCs w:val="26"/>
          <w:lang w:val="uk-UA"/>
        </w:rPr>
      </w:pPr>
      <w:r w:rsidRPr="00BB29A2">
        <w:rPr>
          <w:b/>
          <w:sz w:val="26"/>
          <w:szCs w:val="26"/>
          <w:lang w:val="uk-UA"/>
        </w:rPr>
        <w:t xml:space="preserve">   </w:t>
      </w:r>
      <w:r w:rsidR="002F422D" w:rsidRPr="00BB29A2">
        <w:rPr>
          <w:b/>
          <w:sz w:val="26"/>
          <w:szCs w:val="26"/>
          <w:lang w:val="uk-UA"/>
        </w:rPr>
        <w:t xml:space="preserve">  </w:t>
      </w:r>
      <w:r w:rsidRPr="00066015">
        <w:rPr>
          <w:sz w:val="26"/>
          <w:szCs w:val="26"/>
          <w:lang w:val="uk-UA"/>
        </w:rPr>
        <w:t xml:space="preserve">Управлінням   здійснено </w:t>
      </w:r>
      <w:r w:rsidR="002330A8" w:rsidRPr="00066015">
        <w:rPr>
          <w:sz w:val="26"/>
          <w:szCs w:val="26"/>
          <w:lang w:val="uk-UA"/>
        </w:rPr>
        <w:t>35</w:t>
      </w:r>
      <w:r w:rsidRPr="00066015">
        <w:rPr>
          <w:sz w:val="26"/>
          <w:szCs w:val="26"/>
          <w:lang w:val="uk-UA"/>
        </w:rPr>
        <w:t xml:space="preserve">  виїзних прийомів громадян у найбільш віддалених  населених пунктах району,  </w:t>
      </w:r>
      <w:r w:rsidR="008105E0" w:rsidRPr="00066015">
        <w:rPr>
          <w:sz w:val="26"/>
          <w:szCs w:val="26"/>
          <w:lang w:val="uk-UA"/>
        </w:rPr>
        <w:t xml:space="preserve">проведено </w:t>
      </w:r>
      <w:r w:rsidR="00066015" w:rsidRPr="00066015">
        <w:rPr>
          <w:sz w:val="26"/>
          <w:szCs w:val="26"/>
          <w:lang w:val="uk-UA"/>
        </w:rPr>
        <w:t>10</w:t>
      </w:r>
      <w:r w:rsidRPr="00066015">
        <w:rPr>
          <w:sz w:val="26"/>
          <w:szCs w:val="26"/>
          <w:lang w:val="uk-UA"/>
        </w:rPr>
        <w:t xml:space="preserve"> зустріч</w:t>
      </w:r>
      <w:r w:rsidR="00800180" w:rsidRPr="00066015">
        <w:rPr>
          <w:sz w:val="26"/>
          <w:szCs w:val="26"/>
          <w:lang w:val="uk-UA"/>
        </w:rPr>
        <w:t>ей</w:t>
      </w:r>
      <w:r w:rsidRPr="00066015">
        <w:rPr>
          <w:sz w:val="26"/>
          <w:szCs w:val="26"/>
          <w:lang w:val="uk-UA"/>
        </w:rPr>
        <w:t xml:space="preserve"> з трудовими колективами, організовано </w:t>
      </w:r>
      <w:r w:rsidR="00066015" w:rsidRPr="00066015">
        <w:rPr>
          <w:sz w:val="26"/>
          <w:szCs w:val="26"/>
          <w:lang w:val="uk-UA"/>
        </w:rPr>
        <w:t>21</w:t>
      </w:r>
      <w:r w:rsidR="00800180" w:rsidRPr="00066015">
        <w:rPr>
          <w:sz w:val="26"/>
          <w:szCs w:val="26"/>
          <w:lang w:val="uk-UA"/>
        </w:rPr>
        <w:t xml:space="preserve"> засідан</w:t>
      </w:r>
      <w:r w:rsidR="00066015" w:rsidRPr="00066015">
        <w:rPr>
          <w:sz w:val="26"/>
          <w:szCs w:val="26"/>
          <w:lang w:val="uk-UA"/>
        </w:rPr>
        <w:t>ня</w:t>
      </w:r>
      <w:r w:rsidRPr="00066015">
        <w:rPr>
          <w:sz w:val="26"/>
          <w:szCs w:val="26"/>
          <w:lang w:val="uk-UA"/>
        </w:rPr>
        <w:t xml:space="preserve"> «круглого» столу. За такою формою спілкування протягом </w:t>
      </w:r>
      <w:r w:rsidR="005D290F" w:rsidRPr="00066015">
        <w:rPr>
          <w:sz w:val="26"/>
          <w:szCs w:val="26"/>
          <w:lang w:val="uk-UA"/>
        </w:rPr>
        <w:t xml:space="preserve"> </w:t>
      </w:r>
      <w:r w:rsidR="00D57EFE" w:rsidRPr="00066015">
        <w:rPr>
          <w:sz w:val="26"/>
          <w:szCs w:val="26"/>
          <w:lang w:val="uk-UA"/>
        </w:rPr>
        <w:t>201</w:t>
      </w:r>
      <w:r w:rsidR="005D290F" w:rsidRPr="00066015">
        <w:rPr>
          <w:sz w:val="26"/>
          <w:szCs w:val="26"/>
          <w:lang w:val="uk-UA"/>
        </w:rPr>
        <w:t>6</w:t>
      </w:r>
      <w:r w:rsidR="00D57EFE" w:rsidRPr="00066015">
        <w:rPr>
          <w:sz w:val="26"/>
          <w:szCs w:val="26"/>
          <w:lang w:val="uk-UA"/>
        </w:rPr>
        <w:t xml:space="preserve"> р</w:t>
      </w:r>
      <w:r w:rsidRPr="00066015">
        <w:rPr>
          <w:sz w:val="26"/>
          <w:szCs w:val="26"/>
          <w:lang w:val="uk-UA"/>
        </w:rPr>
        <w:t xml:space="preserve">оку спеціалісти управління надали  інформацію, кваліфіковані  поради  </w:t>
      </w:r>
      <w:r w:rsidR="00066015" w:rsidRPr="00066015">
        <w:rPr>
          <w:sz w:val="26"/>
          <w:szCs w:val="26"/>
          <w:lang w:val="uk-UA"/>
        </w:rPr>
        <w:t>1211</w:t>
      </w:r>
      <w:r w:rsidR="003A312A" w:rsidRPr="00066015">
        <w:rPr>
          <w:sz w:val="26"/>
          <w:szCs w:val="26"/>
          <w:lang w:val="uk-UA"/>
        </w:rPr>
        <w:t xml:space="preserve"> громадян</w:t>
      </w:r>
      <w:r w:rsidR="00BC3F1D" w:rsidRPr="00066015">
        <w:rPr>
          <w:sz w:val="26"/>
          <w:szCs w:val="26"/>
          <w:lang w:val="uk-UA"/>
        </w:rPr>
        <w:t>ам</w:t>
      </w:r>
      <w:r w:rsidRPr="00066015">
        <w:rPr>
          <w:sz w:val="26"/>
          <w:szCs w:val="26"/>
          <w:lang w:val="uk-UA"/>
        </w:rPr>
        <w:t xml:space="preserve">.  </w:t>
      </w:r>
    </w:p>
    <w:p w:rsidR="00FF12A7" w:rsidRPr="00066015" w:rsidRDefault="00FF12A7" w:rsidP="00F531CA">
      <w:pPr>
        <w:ind w:firstLine="360"/>
        <w:jc w:val="both"/>
        <w:rPr>
          <w:sz w:val="26"/>
          <w:szCs w:val="26"/>
          <w:lang w:val="uk-UA"/>
        </w:rPr>
      </w:pPr>
      <w:r w:rsidRPr="00BB29A2">
        <w:rPr>
          <w:b/>
          <w:sz w:val="26"/>
          <w:szCs w:val="26"/>
          <w:lang w:val="uk-UA"/>
        </w:rPr>
        <w:t xml:space="preserve"> </w:t>
      </w:r>
      <w:r w:rsidR="00F531CA" w:rsidRPr="00BB29A2">
        <w:rPr>
          <w:b/>
          <w:sz w:val="26"/>
          <w:szCs w:val="26"/>
          <w:lang w:val="uk-UA"/>
        </w:rPr>
        <w:t xml:space="preserve">  </w:t>
      </w:r>
      <w:r w:rsidR="002F422D" w:rsidRPr="00BB29A2">
        <w:rPr>
          <w:b/>
          <w:sz w:val="26"/>
          <w:szCs w:val="26"/>
          <w:lang w:val="uk-UA"/>
        </w:rPr>
        <w:t xml:space="preserve">  </w:t>
      </w:r>
      <w:r w:rsidRPr="00066015">
        <w:rPr>
          <w:sz w:val="26"/>
          <w:szCs w:val="26"/>
          <w:lang w:val="uk-UA"/>
        </w:rPr>
        <w:t>В  управлінні   працюють телефони «гарячої» лінії, на  які  протягом  звітного періоду  зверн</w:t>
      </w:r>
      <w:r w:rsidR="00800180" w:rsidRPr="00066015">
        <w:rPr>
          <w:sz w:val="26"/>
          <w:szCs w:val="26"/>
          <w:lang w:val="uk-UA"/>
        </w:rPr>
        <w:t xml:space="preserve">улися  та одержали  </w:t>
      </w:r>
      <w:r w:rsidR="008105E0" w:rsidRPr="00066015">
        <w:rPr>
          <w:sz w:val="26"/>
          <w:szCs w:val="26"/>
          <w:lang w:val="uk-UA"/>
        </w:rPr>
        <w:t xml:space="preserve">консультації </w:t>
      </w:r>
      <w:r w:rsidR="00066015" w:rsidRPr="00066015">
        <w:rPr>
          <w:sz w:val="26"/>
          <w:szCs w:val="26"/>
          <w:lang w:val="uk-UA"/>
        </w:rPr>
        <w:t>5880</w:t>
      </w:r>
      <w:r w:rsidRPr="00066015">
        <w:rPr>
          <w:sz w:val="26"/>
          <w:szCs w:val="26"/>
          <w:lang w:val="uk-UA"/>
        </w:rPr>
        <w:t xml:space="preserve"> громадян.</w:t>
      </w:r>
    </w:p>
    <w:p w:rsidR="001A7749" w:rsidRPr="00066015" w:rsidRDefault="001A7749" w:rsidP="001A7749">
      <w:pPr>
        <w:jc w:val="both"/>
        <w:rPr>
          <w:color w:val="000000"/>
          <w:sz w:val="26"/>
          <w:szCs w:val="26"/>
          <w:lang w:val="uk-UA"/>
        </w:rPr>
      </w:pPr>
      <w:r w:rsidRPr="00066015">
        <w:rPr>
          <w:color w:val="000000"/>
          <w:sz w:val="26"/>
          <w:szCs w:val="26"/>
          <w:lang w:val="uk-UA"/>
        </w:rPr>
        <w:t xml:space="preserve">       </w:t>
      </w:r>
      <w:r w:rsidR="002F422D" w:rsidRPr="00066015">
        <w:rPr>
          <w:color w:val="000000"/>
          <w:sz w:val="26"/>
          <w:szCs w:val="26"/>
          <w:lang w:val="uk-UA"/>
        </w:rPr>
        <w:t xml:space="preserve">   </w:t>
      </w:r>
      <w:r w:rsidR="002044E1" w:rsidRPr="00066015">
        <w:rPr>
          <w:color w:val="000000"/>
          <w:sz w:val="26"/>
          <w:szCs w:val="26"/>
          <w:lang w:val="uk-UA"/>
        </w:rPr>
        <w:t xml:space="preserve"> </w:t>
      </w:r>
      <w:r w:rsidRPr="00066015">
        <w:rPr>
          <w:color w:val="000000"/>
          <w:sz w:val="26"/>
          <w:szCs w:val="26"/>
          <w:lang w:val="uk-UA"/>
        </w:rPr>
        <w:t xml:space="preserve">Головним підсумком роботи управління </w:t>
      </w:r>
      <w:r w:rsidR="00B44E81" w:rsidRPr="00066015">
        <w:rPr>
          <w:color w:val="000000"/>
          <w:sz w:val="26"/>
          <w:szCs w:val="26"/>
          <w:lang w:val="uk-UA"/>
        </w:rPr>
        <w:t xml:space="preserve">за </w:t>
      </w:r>
      <w:r w:rsidR="00D57EFE" w:rsidRPr="00066015">
        <w:rPr>
          <w:sz w:val="26"/>
          <w:szCs w:val="26"/>
          <w:lang w:val="uk-UA"/>
        </w:rPr>
        <w:t xml:space="preserve"> 201</w:t>
      </w:r>
      <w:r w:rsidR="003A312A" w:rsidRPr="00066015">
        <w:rPr>
          <w:sz w:val="26"/>
          <w:szCs w:val="26"/>
          <w:lang w:val="uk-UA"/>
        </w:rPr>
        <w:t>6</w:t>
      </w:r>
      <w:r w:rsidR="00D57EFE" w:rsidRPr="00066015">
        <w:rPr>
          <w:sz w:val="26"/>
          <w:szCs w:val="26"/>
          <w:lang w:val="uk-UA"/>
        </w:rPr>
        <w:t xml:space="preserve"> </w:t>
      </w:r>
      <w:r w:rsidRPr="00066015">
        <w:rPr>
          <w:color w:val="000000"/>
          <w:sz w:val="26"/>
          <w:szCs w:val="26"/>
          <w:lang w:val="uk-UA"/>
        </w:rPr>
        <w:t xml:space="preserve">року - є виконання  планових показників з надходження доходів до  бюджету  Пенсійного фонду та забезпечення  своєчасного та в повному обсязі фінансування пенсійних виплат.  </w:t>
      </w:r>
    </w:p>
    <w:sectPr w:rsidR="001A7749" w:rsidRPr="00066015" w:rsidSect="00667A9A">
      <w:pgSz w:w="11906" w:h="16838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CD" w:rsidRDefault="001A5FCD">
      <w:r>
        <w:separator/>
      </w:r>
    </w:p>
  </w:endnote>
  <w:endnote w:type="continuationSeparator" w:id="0">
    <w:p w:rsidR="001A5FCD" w:rsidRDefault="001A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CD" w:rsidRDefault="001A5FCD">
      <w:r>
        <w:separator/>
      </w:r>
    </w:p>
  </w:footnote>
  <w:footnote w:type="continuationSeparator" w:id="0">
    <w:p w:rsidR="001A5FCD" w:rsidRDefault="001A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A86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90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86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2CA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03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07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68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46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80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86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A52FA"/>
    <w:multiLevelType w:val="hybridMultilevel"/>
    <w:tmpl w:val="1A6C0074"/>
    <w:lvl w:ilvl="0" w:tplc="DF3824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B7754A"/>
    <w:multiLevelType w:val="hybridMultilevel"/>
    <w:tmpl w:val="98DEF672"/>
    <w:lvl w:ilvl="0" w:tplc="FF6EBD1E">
      <w:start w:val="87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B8E3D1A"/>
    <w:multiLevelType w:val="hybridMultilevel"/>
    <w:tmpl w:val="4CE41638"/>
    <w:lvl w:ilvl="0" w:tplc="DE7E23A8">
      <w:start w:val="7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47"/>
    <w:rsid w:val="00021D3B"/>
    <w:rsid w:val="00032F4F"/>
    <w:rsid w:val="000336F0"/>
    <w:rsid w:val="000343D9"/>
    <w:rsid w:val="00035F36"/>
    <w:rsid w:val="00040341"/>
    <w:rsid w:val="000409F1"/>
    <w:rsid w:val="00040EB0"/>
    <w:rsid w:val="0004164B"/>
    <w:rsid w:val="0004524A"/>
    <w:rsid w:val="000501E7"/>
    <w:rsid w:val="000504D2"/>
    <w:rsid w:val="000522D0"/>
    <w:rsid w:val="00052C4C"/>
    <w:rsid w:val="00055A37"/>
    <w:rsid w:val="00056B48"/>
    <w:rsid w:val="00057C73"/>
    <w:rsid w:val="00066015"/>
    <w:rsid w:val="000722B5"/>
    <w:rsid w:val="000779E1"/>
    <w:rsid w:val="00080D25"/>
    <w:rsid w:val="00083962"/>
    <w:rsid w:val="00084840"/>
    <w:rsid w:val="000868D3"/>
    <w:rsid w:val="00090DEB"/>
    <w:rsid w:val="00090FEF"/>
    <w:rsid w:val="0009642D"/>
    <w:rsid w:val="000A02CA"/>
    <w:rsid w:val="000A5589"/>
    <w:rsid w:val="000B13BD"/>
    <w:rsid w:val="000B284C"/>
    <w:rsid w:val="000B4A9F"/>
    <w:rsid w:val="000B58A7"/>
    <w:rsid w:val="000C7D46"/>
    <w:rsid w:val="000D0A36"/>
    <w:rsid w:val="000D0A5E"/>
    <w:rsid w:val="000D7352"/>
    <w:rsid w:val="000E3573"/>
    <w:rsid w:val="000E4F9C"/>
    <w:rsid w:val="000F43BA"/>
    <w:rsid w:val="000F54B0"/>
    <w:rsid w:val="00111BB4"/>
    <w:rsid w:val="00114B3A"/>
    <w:rsid w:val="00115E39"/>
    <w:rsid w:val="001165CD"/>
    <w:rsid w:val="00125BFA"/>
    <w:rsid w:val="001274EB"/>
    <w:rsid w:val="00131E79"/>
    <w:rsid w:val="00140E6E"/>
    <w:rsid w:val="00142BEC"/>
    <w:rsid w:val="0014732C"/>
    <w:rsid w:val="0015068C"/>
    <w:rsid w:val="00153B46"/>
    <w:rsid w:val="00155348"/>
    <w:rsid w:val="00155E01"/>
    <w:rsid w:val="001618DF"/>
    <w:rsid w:val="0016465D"/>
    <w:rsid w:val="00164EFA"/>
    <w:rsid w:val="00170CB8"/>
    <w:rsid w:val="00170F0F"/>
    <w:rsid w:val="00171BD3"/>
    <w:rsid w:val="00173A9B"/>
    <w:rsid w:val="00175FBD"/>
    <w:rsid w:val="001767C7"/>
    <w:rsid w:val="00176F46"/>
    <w:rsid w:val="00177FFD"/>
    <w:rsid w:val="00180CC8"/>
    <w:rsid w:val="00181117"/>
    <w:rsid w:val="001848A9"/>
    <w:rsid w:val="00192EAF"/>
    <w:rsid w:val="001A5FCD"/>
    <w:rsid w:val="001A7749"/>
    <w:rsid w:val="001B11EE"/>
    <w:rsid w:val="001B13E7"/>
    <w:rsid w:val="001B2426"/>
    <w:rsid w:val="001C2C8A"/>
    <w:rsid w:val="001C43C5"/>
    <w:rsid w:val="001D1A83"/>
    <w:rsid w:val="001D202A"/>
    <w:rsid w:val="001D272F"/>
    <w:rsid w:val="001D4090"/>
    <w:rsid w:val="001E1C67"/>
    <w:rsid w:val="001F7755"/>
    <w:rsid w:val="00203AFA"/>
    <w:rsid w:val="002044E1"/>
    <w:rsid w:val="002064CE"/>
    <w:rsid w:val="002105C4"/>
    <w:rsid w:val="00213D70"/>
    <w:rsid w:val="00217C6E"/>
    <w:rsid w:val="00220AF9"/>
    <w:rsid w:val="00222CAF"/>
    <w:rsid w:val="00224F10"/>
    <w:rsid w:val="002279CF"/>
    <w:rsid w:val="00227A11"/>
    <w:rsid w:val="00230C80"/>
    <w:rsid w:val="00232391"/>
    <w:rsid w:val="002330A8"/>
    <w:rsid w:val="002346A3"/>
    <w:rsid w:val="00237A14"/>
    <w:rsid w:val="00241F6E"/>
    <w:rsid w:val="00243F91"/>
    <w:rsid w:val="00244135"/>
    <w:rsid w:val="00245BB5"/>
    <w:rsid w:val="00246664"/>
    <w:rsid w:val="0025160A"/>
    <w:rsid w:val="00253EA9"/>
    <w:rsid w:val="00253F01"/>
    <w:rsid w:val="0025781D"/>
    <w:rsid w:val="00275868"/>
    <w:rsid w:val="0027781B"/>
    <w:rsid w:val="0028045E"/>
    <w:rsid w:val="0028321C"/>
    <w:rsid w:val="00286890"/>
    <w:rsid w:val="00287869"/>
    <w:rsid w:val="002901C7"/>
    <w:rsid w:val="00295990"/>
    <w:rsid w:val="002A4CCA"/>
    <w:rsid w:val="002A54BE"/>
    <w:rsid w:val="002A653D"/>
    <w:rsid w:val="002B121E"/>
    <w:rsid w:val="002C1706"/>
    <w:rsid w:val="002C240C"/>
    <w:rsid w:val="002C37BB"/>
    <w:rsid w:val="002D10D4"/>
    <w:rsid w:val="002E1D9E"/>
    <w:rsid w:val="002E2FD9"/>
    <w:rsid w:val="002E4490"/>
    <w:rsid w:val="002E5747"/>
    <w:rsid w:val="002E5F68"/>
    <w:rsid w:val="002F1DDA"/>
    <w:rsid w:val="002F23D7"/>
    <w:rsid w:val="002F3EFF"/>
    <w:rsid w:val="002F422D"/>
    <w:rsid w:val="002F6A2C"/>
    <w:rsid w:val="002F6AA7"/>
    <w:rsid w:val="002F7986"/>
    <w:rsid w:val="00310D53"/>
    <w:rsid w:val="00315F17"/>
    <w:rsid w:val="0032087D"/>
    <w:rsid w:val="00321A7C"/>
    <w:rsid w:val="003221DA"/>
    <w:rsid w:val="00323E25"/>
    <w:rsid w:val="00325D18"/>
    <w:rsid w:val="00335E14"/>
    <w:rsid w:val="003402D5"/>
    <w:rsid w:val="003406EE"/>
    <w:rsid w:val="003413ED"/>
    <w:rsid w:val="00347997"/>
    <w:rsid w:val="00350C59"/>
    <w:rsid w:val="00356302"/>
    <w:rsid w:val="003607A1"/>
    <w:rsid w:val="00364868"/>
    <w:rsid w:val="00367C7F"/>
    <w:rsid w:val="003702CB"/>
    <w:rsid w:val="003705E2"/>
    <w:rsid w:val="00374EC7"/>
    <w:rsid w:val="00382D3E"/>
    <w:rsid w:val="00386755"/>
    <w:rsid w:val="003879F4"/>
    <w:rsid w:val="00394B41"/>
    <w:rsid w:val="00397AA6"/>
    <w:rsid w:val="003A312A"/>
    <w:rsid w:val="003A31D9"/>
    <w:rsid w:val="003A4177"/>
    <w:rsid w:val="003A6833"/>
    <w:rsid w:val="003B688E"/>
    <w:rsid w:val="003C4D43"/>
    <w:rsid w:val="003D095C"/>
    <w:rsid w:val="003D11E2"/>
    <w:rsid w:val="003D2FA5"/>
    <w:rsid w:val="003D445B"/>
    <w:rsid w:val="003F58FE"/>
    <w:rsid w:val="00402BA0"/>
    <w:rsid w:val="00404328"/>
    <w:rsid w:val="0040504E"/>
    <w:rsid w:val="00405C4C"/>
    <w:rsid w:val="00412D64"/>
    <w:rsid w:val="00414A49"/>
    <w:rsid w:val="00427E37"/>
    <w:rsid w:val="00443D64"/>
    <w:rsid w:val="00450AFD"/>
    <w:rsid w:val="00451AB4"/>
    <w:rsid w:val="00455027"/>
    <w:rsid w:val="0046711F"/>
    <w:rsid w:val="0047005C"/>
    <w:rsid w:val="00471B65"/>
    <w:rsid w:val="0047307E"/>
    <w:rsid w:val="004753BE"/>
    <w:rsid w:val="00476817"/>
    <w:rsid w:val="00476A28"/>
    <w:rsid w:val="00481149"/>
    <w:rsid w:val="00481889"/>
    <w:rsid w:val="00481A54"/>
    <w:rsid w:val="00490697"/>
    <w:rsid w:val="00495070"/>
    <w:rsid w:val="004A00B7"/>
    <w:rsid w:val="004A509D"/>
    <w:rsid w:val="004A7E18"/>
    <w:rsid w:val="004B0A6D"/>
    <w:rsid w:val="004B0B82"/>
    <w:rsid w:val="004B331E"/>
    <w:rsid w:val="004C0194"/>
    <w:rsid w:val="004C1845"/>
    <w:rsid w:val="004C1A1F"/>
    <w:rsid w:val="004C2524"/>
    <w:rsid w:val="004C42C8"/>
    <w:rsid w:val="004D7E4F"/>
    <w:rsid w:val="004E72A0"/>
    <w:rsid w:val="004F0D26"/>
    <w:rsid w:val="004F4B56"/>
    <w:rsid w:val="00501462"/>
    <w:rsid w:val="00501B97"/>
    <w:rsid w:val="00503040"/>
    <w:rsid w:val="005044BF"/>
    <w:rsid w:val="0050461C"/>
    <w:rsid w:val="00504913"/>
    <w:rsid w:val="00510982"/>
    <w:rsid w:val="005160B4"/>
    <w:rsid w:val="00523AD6"/>
    <w:rsid w:val="00523CEC"/>
    <w:rsid w:val="00526FC5"/>
    <w:rsid w:val="00537EBA"/>
    <w:rsid w:val="005440A4"/>
    <w:rsid w:val="00551AA8"/>
    <w:rsid w:val="00556DAF"/>
    <w:rsid w:val="005621FE"/>
    <w:rsid w:val="0056378C"/>
    <w:rsid w:val="005647AA"/>
    <w:rsid w:val="00567E52"/>
    <w:rsid w:val="00570AFC"/>
    <w:rsid w:val="00573A5E"/>
    <w:rsid w:val="00581B5A"/>
    <w:rsid w:val="00584E6F"/>
    <w:rsid w:val="00586DAC"/>
    <w:rsid w:val="00595B2A"/>
    <w:rsid w:val="00595D79"/>
    <w:rsid w:val="005979DA"/>
    <w:rsid w:val="005A1A56"/>
    <w:rsid w:val="005B0ABC"/>
    <w:rsid w:val="005B0E25"/>
    <w:rsid w:val="005B3B9F"/>
    <w:rsid w:val="005B407B"/>
    <w:rsid w:val="005B4F97"/>
    <w:rsid w:val="005B662F"/>
    <w:rsid w:val="005B7096"/>
    <w:rsid w:val="005C4C44"/>
    <w:rsid w:val="005C5995"/>
    <w:rsid w:val="005D290F"/>
    <w:rsid w:val="005D407D"/>
    <w:rsid w:val="005D5686"/>
    <w:rsid w:val="005F2B55"/>
    <w:rsid w:val="005F4E1C"/>
    <w:rsid w:val="005F4E3F"/>
    <w:rsid w:val="006060C0"/>
    <w:rsid w:val="00610ABC"/>
    <w:rsid w:val="00613C7D"/>
    <w:rsid w:val="006245AD"/>
    <w:rsid w:val="00633A8A"/>
    <w:rsid w:val="00635322"/>
    <w:rsid w:val="00635C3E"/>
    <w:rsid w:val="006374E9"/>
    <w:rsid w:val="00640381"/>
    <w:rsid w:val="006452E5"/>
    <w:rsid w:val="006545E4"/>
    <w:rsid w:val="00655976"/>
    <w:rsid w:val="0066292E"/>
    <w:rsid w:val="00667A9A"/>
    <w:rsid w:val="006719A7"/>
    <w:rsid w:val="006719DA"/>
    <w:rsid w:val="00681528"/>
    <w:rsid w:val="00682058"/>
    <w:rsid w:val="00683AC4"/>
    <w:rsid w:val="00686DE3"/>
    <w:rsid w:val="0069603D"/>
    <w:rsid w:val="006A2073"/>
    <w:rsid w:val="006A262C"/>
    <w:rsid w:val="006A4675"/>
    <w:rsid w:val="006A47FA"/>
    <w:rsid w:val="006A7C7B"/>
    <w:rsid w:val="006B25CD"/>
    <w:rsid w:val="006B7B7C"/>
    <w:rsid w:val="006B7EB1"/>
    <w:rsid w:val="006C28FA"/>
    <w:rsid w:val="006C2C1D"/>
    <w:rsid w:val="006C5B19"/>
    <w:rsid w:val="006C7DF8"/>
    <w:rsid w:val="006D5FE9"/>
    <w:rsid w:val="006D6545"/>
    <w:rsid w:val="006D7E0F"/>
    <w:rsid w:val="006E0CEB"/>
    <w:rsid w:val="006E46C3"/>
    <w:rsid w:val="006E498C"/>
    <w:rsid w:val="006E6270"/>
    <w:rsid w:val="006F3B9D"/>
    <w:rsid w:val="007042E9"/>
    <w:rsid w:val="007073FF"/>
    <w:rsid w:val="007107DB"/>
    <w:rsid w:val="00720B80"/>
    <w:rsid w:val="007227B7"/>
    <w:rsid w:val="007233CA"/>
    <w:rsid w:val="00732BB8"/>
    <w:rsid w:val="00741BB0"/>
    <w:rsid w:val="007436E1"/>
    <w:rsid w:val="007438C4"/>
    <w:rsid w:val="00746BAD"/>
    <w:rsid w:val="00755604"/>
    <w:rsid w:val="007570F2"/>
    <w:rsid w:val="007615F6"/>
    <w:rsid w:val="00762285"/>
    <w:rsid w:val="00765DB6"/>
    <w:rsid w:val="00766177"/>
    <w:rsid w:val="007709AD"/>
    <w:rsid w:val="00772A0E"/>
    <w:rsid w:val="00772B09"/>
    <w:rsid w:val="00773D07"/>
    <w:rsid w:val="00777A39"/>
    <w:rsid w:val="00783F5A"/>
    <w:rsid w:val="00784D25"/>
    <w:rsid w:val="007919AE"/>
    <w:rsid w:val="00795E7D"/>
    <w:rsid w:val="007A13CC"/>
    <w:rsid w:val="007A1A98"/>
    <w:rsid w:val="007A2431"/>
    <w:rsid w:val="007A77F0"/>
    <w:rsid w:val="007B2461"/>
    <w:rsid w:val="007C0E34"/>
    <w:rsid w:val="007D0E3D"/>
    <w:rsid w:val="007E600C"/>
    <w:rsid w:val="007E6A31"/>
    <w:rsid w:val="007E74DC"/>
    <w:rsid w:val="007F0C62"/>
    <w:rsid w:val="007F2379"/>
    <w:rsid w:val="007F3CA2"/>
    <w:rsid w:val="00800180"/>
    <w:rsid w:val="00801B84"/>
    <w:rsid w:val="00802F8E"/>
    <w:rsid w:val="008042BE"/>
    <w:rsid w:val="00807609"/>
    <w:rsid w:val="00807B3B"/>
    <w:rsid w:val="008105E0"/>
    <w:rsid w:val="008120F1"/>
    <w:rsid w:val="008200FF"/>
    <w:rsid w:val="0082119C"/>
    <w:rsid w:val="00826526"/>
    <w:rsid w:val="00827866"/>
    <w:rsid w:val="00833E39"/>
    <w:rsid w:val="00835C0A"/>
    <w:rsid w:val="00836081"/>
    <w:rsid w:val="00841241"/>
    <w:rsid w:val="008426CD"/>
    <w:rsid w:val="0084384C"/>
    <w:rsid w:val="00850131"/>
    <w:rsid w:val="00852087"/>
    <w:rsid w:val="00856438"/>
    <w:rsid w:val="008572C2"/>
    <w:rsid w:val="0086029C"/>
    <w:rsid w:val="008636A6"/>
    <w:rsid w:val="00864814"/>
    <w:rsid w:val="00870FD8"/>
    <w:rsid w:val="00872E59"/>
    <w:rsid w:val="00877B70"/>
    <w:rsid w:val="008823C9"/>
    <w:rsid w:val="00882C16"/>
    <w:rsid w:val="00887020"/>
    <w:rsid w:val="008872F4"/>
    <w:rsid w:val="00887E57"/>
    <w:rsid w:val="008914CC"/>
    <w:rsid w:val="00895762"/>
    <w:rsid w:val="008974F1"/>
    <w:rsid w:val="008A1B32"/>
    <w:rsid w:val="008A3F3E"/>
    <w:rsid w:val="008A5A2B"/>
    <w:rsid w:val="008B4EFA"/>
    <w:rsid w:val="008C339A"/>
    <w:rsid w:val="008D0C6E"/>
    <w:rsid w:val="008D0DB8"/>
    <w:rsid w:val="008D13B1"/>
    <w:rsid w:val="008E2A09"/>
    <w:rsid w:val="008E4F22"/>
    <w:rsid w:val="008E5237"/>
    <w:rsid w:val="008F0F98"/>
    <w:rsid w:val="008F22F9"/>
    <w:rsid w:val="008F471B"/>
    <w:rsid w:val="008F6DE6"/>
    <w:rsid w:val="008F7EDE"/>
    <w:rsid w:val="00907D54"/>
    <w:rsid w:val="00914577"/>
    <w:rsid w:val="0092447B"/>
    <w:rsid w:val="00927105"/>
    <w:rsid w:val="0093147C"/>
    <w:rsid w:val="00955CDA"/>
    <w:rsid w:val="00961B52"/>
    <w:rsid w:val="00963A80"/>
    <w:rsid w:val="00963B13"/>
    <w:rsid w:val="00963FBA"/>
    <w:rsid w:val="0096611B"/>
    <w:rsid w:val="009711B0"/>
    <w:rsid w:val="00972BC2"/>
    <w:rsid w:val="0097519A"/>
    <w:rsid w:val="0097550B"/>
    <w:rsid w:val="00982753"/>
    <w:rsid w:val="00982CEC"/>
    <w:rsid w:val="0099046F"/>
    <w:rsid w:val="00994EF3"/>
    <w:rsid w:val="009A7CEA"/>
    <w:rsid w:val="009C01D5"/>
    <w:rsid w:val="009C22F1"/>
    <w:rsid w:val="009C78CE"/>
    <w:rsid w:val="009C79EE"/>
    <w:rsid w:val="009D1801"/>
    <w:rsid w:val="009D5DCD"/>
    <w:rsid w:val="009D62C9"/>
    <w:rsid w:val="009D699B"/>
    <w:rsid w:val="00A0227F"/>
    <w:rsid w:val="00A0331E"/>
    <w:rsid w:val="00A05213"/>
    <w:rsid w:val="00A056B4"/>
    <w:rsid w:val="00A06DBF"/>
    <w:rsid w:val="00A12EAC"/>
    <w:rsid w:val="00A1508E"/>
    <w:rsid w:val="00A15B03"/>
    <w:rsid w:val="00A2084D"/>
    <w:rsid w:val="00A314B4"/>
    <w:rsid w:val="00A323A8"/>
    <w:rsid w:val="00A3395F"/>
    <w:rsid w:val="00A40625"/>
    <w:rsid w:val="00A4191E"/>
    <w:rsid w:val="00A42EFB"/>
    <w:rsid w:val="00A43FCC"/>
    <w:rsid w:val="00A461AE"/>
    <w:rsid w:val="00A513AD"/>
    <w:rsid w:val="00A54AC8"/>
    <w:rsid w:val="00A56081"/>
    <w:rsid w:val="00A61135"/>
    <w:rsid w:val="00A6442A"/>
    <w:rsid w:val="00A64B9E"/>
    <w:rsid w:val="00A72719"/>
    <w:rsid w:val="00A73AE9"/>
    <w:rsid w:val="00A81D3A"/>
    <w:rsid w:val="00A969FA"/>
    <w:rsid w:val="00AA696B"/>
    <w:rsid w:val="00AB26D2"/>
    <w:rsid w:val="00AC0903"/>
    <w:rsid w:val="00AC3D0D"/>
    <w:rsid w:val="00AC5D7E"/>
    <w:rsid w:val="00AC73F8"/>
    <w:rsid w:val="00AC7504"/>
    <w:rsid w:val="00AE16A9"/>
    <w:rsid w:val="00AF228F"/>
    <w:rsid w:val="00B06901"/>
    <w:rsid w:val="00B10586"/>
    <w:rsid w:val="00B20E12"/>
    <w:rsid w:val="00B22A6E"/>
    <w:rsid w:val="00B24DAD"/>
    <w:rsid w:val="00B32163"/>
    <w:rsid w:val="00B36A6F"/>
    <w:rsid w:val="00B40C28"/>
    <w:rsid w:val="00B414DE"/>
    <w:rsid w:val="00B43AC1"/>
    <w:rsid w:val="00B44E81"/>
    <w:rsid w:val="00B45629"/>
    <w:rsid w:val="00B7135B"/>
    <w:rsid w:val="00B72BD8"/>
    <w:rsid w:val="00B73F94"/>
    <w:rsid w:val="00B74833"/>
    <w:rsid w:val="00B7556B"/>
    <w:rsid w:val="00B84CF2"/>
    <w:rsid w:val="00B94930"/>
    <w:rsid w:val="00B977C4"/>
    <w:rsid w:val="00BA2835"/>
    <w:rsid w:val="00BA43B7"/>
    <w:rsid w:val="00BA5F35"/>
    <w:rsid w:val="00BB06EE"/>
    <w:rsid w:val="00BB29A2"/>
    <w:rsid w:val="00BB3B31"/>
    <w:rsid w:val="00BB6844"/>
    <w:rsid w:val="00BC2ACF"/>
    <w:rsid w:val="00BC3F1D"/>
    <w:rsid w:val="00BD0C19"/>
    <w:rsid w:val="00BD41B1"/>
    <w:rsid w:val="00BE3A6B"/>
    <w:rsid w:val="00BE4ADB"/>
    <w:rsid w:val="00BE6253"/>
    <w:rsid w:val="00BF3358"/>
    <w:rsid w:val="00BF3BD1"/>
    <w:rsid w:val="00BF6C39"/>
    <w:rsid w:val="00C0025D"/>
    <w:rsid w:val="00C008C1"/>
    <w:rsid w:val="00C02A29"/>
    <w:rsid w:val="00C123A3"/>
    <w:rsid w:val="00C13579"/>
    <w:rsid w:val="00C13D26"/>
    <w:rsid w:val="00C20BBC"/>
    <w:rsid w:val="00C31C02"/>
    <w:rsid w:val="00C32740"/>
    <w:rsid w:val="00C372B0"/>
    <w:rsid w:val="00C611C2"/>
    <w:rsid w:val="00C6637C"/>
    <w:rsid w:val="00C66A9F"/>
    <w:rsid w:val="00C766ED"/>
    <w:rsid w:val="00C81C23"/>
    <w:rsid w:val="00C844D4"/>
    <w:rsid w:val="00C9054A"/>
    <w:rsid w:val="00CB14A7"/>
    <w:rsid w:val="00CB2AF2"/>
    <w:rsid w:val="00CB5D9D"/>
    <w:rsid w:val="00CB6503"/>
    <w:rsid w:val="00CC3448"/>
    <w:rsid w:val="00CD1CBF"/>
    <w:rsid w:val="00CE5E44"/>
    <w:rsid w:val="00CF096A"/>
    <w:rsid w:val="00CF7373"/>
    <w:rsid w:val="00CF7AC4"/>
    <w:rsid w:val="00CF7DF7"/>
    <w:rsid w:val="00D0074A"/>
    <w:rsid w:val="00D02402"/>
    <w:rsid w:val="00D02EA1"/>
    <w:rsid w:val="00D03567"/>
    <w:rsid w:val="00D036D3"/>
    <w:rsid w:val="00D056F2"/>
    <w:rsid w:val="00D0787D"/>
    <w:rsid w:val="00D143E5"/>
    <w:rsid w:val="00D165AC"/>
    <w:rsid w:val="00D20C2E"/>
    <w:rsid w:val="00D25D37"/>
    <w:rsid w:val="00D262F3"/>
    <w:rsid w:val="00D32B60"/>
    <w:rsid w:val="00D4301D"/>
    <w:rsid w:val="00D4714C"/>
    <w:rsid w:val="00D5748C"/>
    <w:rsid w:val="00D57EFE"/>
    <w:rsid w:val="00D66332"/>
    <w:rsid w:val="00D77135"/>
    <w:rsid w:val="00D86593"/>
    <w:rsid w:val="00D902F9"/>
    <w:rsid w:val="00D90DC6"/>
    <w:rsid w:val="00D91849"/>
    <w:rsid w:val="00D92127"/>
    <w:rsid w:val="00D924A9"/>
    <w:rsid w:val="00DB7A03"/>
    <w:rsid w:val="00DC70C1"/>
    <w:rsid w:val="00DD3E1D"/>
    <w:rsid w:val="00DD404D"/>
    <w:rsid w:val="00DD5CCB"/>
    <w:rsid w:val="00DE00A0"/>
    <w:rsid w:val="00DE1CE5"/>
    <w:rsid w:val="00DE2141"/>
    <w:rsid w:val="00DE237E"/>
    <w:rsid w:val="00DE399F"/>
    <w:rsid w:val="00DE515B"/>
    <w:rsid w:val="00DE5A85"/>
    <w:rsid w:val="00DE644A"/>
    <w:rsid w:val="00E01112"/>
    <w:rsid w:val="00E05F17"/>
    <w:rsid w:val="00E12E23"/>
    <w:rsid w:val="00E138AF"/>
    <w:rsid w:val="00E2064A"/>
    <w:rsid w:val="00E219B1"/>
    <w:rsid w:val="00E21C1D"/>
    <w:rsid w:val="00E278D4"/>
    <w:rsid w:val="00E50FC4"/>
    <w:rsid w:val="00E54447"/>
    <w:rsid w:val="00E655A0"/>
    <w:rsid w:val="00E708C2"/>
    <w:rsid w:val="00E875AE"/>
    <w:rsid w:val="00E87AC5"/>
    <w:rsid w:val="00E87E46"/>
    <w:rsid w:val="00E90D46"/>
    <w:rsid w:val="00E91B4C"/>
    <w:rsid w:val="00E927E0"/>
    <w:rsid w:val="00E961E8"/>
    <w:rsid w:val="00EA11C2"/>
    <w:rsid w:val="00EA2B58"/>
    <w:rsid w:val="00EB3151"/>
    <w:rsid w:val="00EB4F99"/>
    <w:rsid w:val="00EB5C09"/>
    <w:rsid w:val="00EB7658"/>
    <w:rsid w:val="00EC0371"/>
    <w:rsid w:val="00EC1090"/>
    <w:rsid w:val="00EC4746"/>
    <w:rsid w:val="00EC68AF"/>
    <w:rsid w:val="00ED2E75"/>
    <w:rsid w:val="00ED39CF"/>
    <w:rsid w:val="00ED52BF"/>
    <w:rsid w:val="00EE134C"/>
    <w:rsid w:val="00EF5FD0"/>
    <w:rsid w:val="00EF6387"/>
    <w:rsid w:val="00F00089"/>
    <w:rsid w:val="00F000FC"/>
    <w:rsid w:val="00F01C79"/>
    <w:rsid w:val="00F023C9"/>
    <w:rsid w:val="00F07B95"/>
    <w:rsid w:val="00F134E4"/>
    <w:rsid w:val="00F146F6"/>
    <w:rsid w:val="00F173BF"/>
    <w:rsid w:val="00F17D77"/>
    <w:rsid w:val="00F31122"/>
    <w:rsid w:val="00F401EE"/>
    <w:rsid w:val="00F531CA"/>
    <w:rsid w:val="00F551D5"/>
    <w:rsid w:val="00F55EAD"/>
    <w:rsid w:val="00F60006"/>
    <w:rsid w:val="00F62962"/>
    <w:rsid w:val="00F63905"/>
    <w:rsid w:val="00F647B6"/>
    <w:rsid w:val="00F6552D"/>
    <w:rsid w:val="00F66716"/>
    <w:rsid w:val="00F731F7"/>
    <w:rsid w:val="00F858A9"/>
    <w:rsid w:val="00F92412"/>
    <w:rsid w:val="00F952BF"/>
    <w:rsid w:val="00FA2DEC"/>
    <w:rsid w:val="00FA545C"/>
    <w:rsid w:val="00FA7221"/>
    <w:rsid w:val="00FB0C49"/>
    <w:rsid w:val="00FC497C"/>
    <w:rsid w:val="00FC6347"/>
    <w:rsid w:val="00FD28C8"/>
    <w:rsid w:val="00FD2C14"/>
    <w:rsid w:val="00FD3B73"/>
    <w:rsid w:val="00FE1A77"/>
    <w:rsid w:val="00FE39DB"/>
    <w:rsid w:val="00FE3AA0"/>
    <w:rsid w:val="00FF12A7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index 1"/>
    <w:basedOn w:val="a"/>
    <w:autoRedefine/>
    <w:semiHidden/>
    <w:pPr>
      <w:spacing w:line="240" w:lineRule="atLeast"/>
      <w:ind w:right="-6" w:firstLine="3686"/>
      <w:jc w:val="center"/>
    </w:pPr>
    <w:rPr>
      <w:b/>
      <w:sz w:val="16"/>
    </w:rPr>
  </w:style>
  <w:style w:type="paragraph" w:styleId="a3">
    <w:name w:val="Body Text"/>
    <w:basedOn w:val="a"/>
    <w:pPr>
      <w:jc w:val="center"/>
    </w:pPr>
    <w:rPr>
      <w:b/>
      <w:sz w:val="32"/>
      <w:lang w:val="uk-UA"/>
    </w:rPr>
  </w:style>
  <w:style w:type="paragraph" w:styleId="a4">
    <w:name w:val="Balloon Text"/>
    <w:basedOn w:val="a"/>
    <w:semiHidden/>
    <w:rsid w:val="00E5444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046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0461C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4C2524"/>
    <w:pPr>
      <w:ind w:left="4395" w:right="-1"/>
      <w:jc w:val="both"/>
    </w:pPr>
    <w:rPr>
      <w:b/>
      <w:sz w:val="28"/>
      <w:lang w:val="uk-UA"/>
    </w:rPr>
  </w:style>
  <w:style w:type="table" w:styleId="a8">
    <w:name w:val="Table Grid"/>
    <w:basedOn w:val="a1"/>
    <w:rsid w:val="004C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FF12A7"/>
    <w:pPr>
      <w:spacing w:after="120"/>
      <w:ind w:left="283"/>
    </w:pPr>
  </w:style>
  <w:style w:type="paragraph" w:styleId="30">
    <w:name w:val="Body Text 3"/>
    <w:basedOn w:val="a"/>
    <w:rsid w:val="004B0A6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8259385665528985E-2"/>
          <c:y val="0.12135922330097089"/>
          <c:w val="0.61604095563139971"/>
          <c:h val="0.694174757281553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pattFill prst="lt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iagBrick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10">
                <a:fgClr>
                  <a:srgbClr val="660066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8.8223046551689031E-3"/>
                  <c:y val="-0.10948198357621697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0676262587913249E-2"/>
                  <c:y val="-4.4529975150085749E-2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Пільгові пенсії</c:v>
                </c:pt>
                <c:pt idx="1">
                  <c:v>інші джерела</c:v>
                </c:pt>
                <c:pt idx="2">
                  <c:v>Погашення боргу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317.10000000000002</c:v>
                </c:pt>
                <c:pt idx="1">
                  <c:v>214.6</c:v>
                </c:pt>
                <c:pt idx="2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Пільгові пенсії</c:v>
                </c:pt>
                <c:pt idx="1">
                  <c:v>інші джерела</c:v>
                </c:pt>
                <c:pt idx="2">
                  <c:v>Погашення боргу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Пільгові пенсії</c:v>
                </c:pt>
                <c:pt idx="1">
                  <c:v>інші джерела</c:v>
                </c:pt>
                <c:pt idx="2">
                  <c:v>Погашення боргу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3890784982935154"/>
          <c:y val="9.7087378640776708E-3"/>
          <c:w val="0.26109215017064846"/>
          <c:h val="0.99514563106796117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0944881889763779E-2"/>
          <c:y val="0.11157024793388436"/>
          <c:w val="0.6834645669291336"/>
          <c:h val="0.714876033057851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18"/>
            <c:spPr>
              <a:pattFill prst="lt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iagBrick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10">
                <a:fgClr>
                  <a:srgbClr val="660066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2.5684835907139492E-2"/>
                  <c:y val="-0.14975131207772585"/>
                </c:manualLayout>
              </c:layout>
              <c:dLblPos val="bestFit"/>
              <c:showVal val="1"/>
            </c:dLbl>
            <c:dLbl>
              <c:idx val="2"/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За віком 23033</c:v>
                </c:pt>
                <c:pt idx="1">
                  <c:v>По інвалідності - 2202</c:v>
                </c:pt>
                <c:pt idx="2">
                  <c:v>У зв'язку з втратою годувальника - 1671</c:v>
                </c:pt>
                <c:pt idx="3">
                  <c:v>За вислугу років - 596</c:v>
                </c:pt>
                <c:pt idx="4">
                  <c:v>Соціальні пенсії - 173</c:v>
                </c:pt>
                <c:pt idx="5">
                  <c:v>Спеціальні пенсії -39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82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За віком 23033</c:v>
                </c:pt>
                <c:pt idx="1">
                  <c:v>По інвалідності - 2202</c:v>
                </c:pt>
                <c:pt idx="2">
                  <c:v>У зв'язку з втратою годувальника - 1671</c:v>
                </c:pt>
                <c:pt idx="3">
                  <c:v>За вислугу років - 596</c:v>
                </c:pt>
                <c:pt idx="4">
                  <c:v>Соціальні пенсії - 173</c:v>
                </c:pt>
                <c:pt idx="5">
                  <c:v>Спеціальні пенсії -39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За віком 23033</c:v>
                </c:pt>
                <c:pt idx="1">
                  <c:v>По інвалідності - 2202</c:v>
                </c:pt>
                <c:pt idx="2">
                  <c:v>У зв'язку з втратою годувальника - 1671</c:v>
                </c:pt>
                <c:pt idx="3">
                  <c:v>За вислугу років - 596</c:v>
                </c:pt>
                <c:pt idx="4">
                  <c:v>Соціальні пенсії - 173</c:v>
                </c:pt>
                <c:pt idx="5">
                  <c:v>Спеціальні пенсії -39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За віком 23033</c:v>
                </c:pt>
                <c:pt idx="1">
                  <c:v>По інвалідності - 2202</c:v>
                </c:pt>
                <c:pt idx="2">
                  <c:v>У зв'язку з втратою годувальника - 1671</c:v>
                </c:pt>
                <c:pt idx="3">
                  <c:v>За вислугу років - 596</c:v>
                </c:pt>
                <c:pt idx="4">
                  <c:v>Соціальні пенсії - 173</c:v>
                </c:pt>
                <c:pt idx="5">
                  <c:v>Спеціальні пенсії -39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За віком 23033</c:v>
                </c:pt>
                <c:pt idx="1">
                  <c:v>По інвалідності - 2202</c:v>
                </c:pt>
                <c:pt idx="2">
                  <c:v>У зв'язку з втратою годувальника - 1671</c:v>
                </c:pt>
                <c:pt idx="3">
                  <c:v>За вислугу років - 596</c:v>
                </c:pt>
                <c:pt idx="4">
                  <c:v>Соціальні пенсії - 173</c:v>
                </c:pt>
                <c:pt idx="5">
                  <c:v>Спеціальні пенсії -39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5400">
          <a:noFill/>
        </a:ln>
      </c:spPr>
    </c:plotArea>
    <c:legend>
      <c:legendPos val="r"/>
      <c:spPr>
        <a:noFill/>
        <a:ln w="25400">
          <a:noFill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5977011494252866E-2"/>
          <c:y val="0.12234042553191492"/>
          <c:w val="0.63218390804597702"/>
          <c:h val="0.691489361702127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dPt>
            <c:idx val="0"/>
            <c:explosion val="17"/>
            <c:spPr>
              <a:pattFill prst="ltDnDiag">
                <a:fgClr>
                  <a:srgbClr val="000000"/>
                </a:fgClr>
                <a:bgClr>
                  <a:srgbClr val="FFFFFF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iagBrick">
                <a:fgClr>
                  <a:srgbClr val="000000"/>
                </a:fgClr>
                <a:bgClr>
                  <a:srgbClr val="FFFFFF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10">
                <a:fgClr>
                  <a:srgbClr val="660066"/>
                </a:fgClr>
                <a:bgClr>
                  <a:srgbClr val="FFFFFF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1377981109893161E-2"/>
                  <c:y val="-8.904788658348718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6140364487106705E-3"/>
                  <c:y val="-1.709731480210468E-4"/>
                </c:manualLayout>
              </c:layout>
              <c:dLblPos val="bestFit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Нижче прожиткового мінімуму - 2255</c:v>
                </c:pt>
                <c:pt idx="1">
                  <c:v>У розмірі прожиткового мінімуму - 570</c:v>
                </c:pt>
                <c:pt idx="2">
                  <c:v>Вище прожиткового мінімуму - 24857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Нижче прожиткового мінімуму - 2255</c:v>
                </c:pt>
                <c:pt idx="1">
                  <c:v>У розмірі прожиткового мінімуму - 570</c:v>
                </c:pt>
                <c:pt idx="2">
                  <c:v>Вище прожиткового мінімуму - 24857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Нижче прожиткового мінімуму - 2255</c:v>
                </c:pt>
                <c:pt idx="1">
                  <c:v>У розмірі прожиткового мінімуму - 570</c:v>
                </c:pt>
                <c:pt idx="2">
                  <c:v>Вище прожиткового мінімуму - 24857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Нижче прожиткового мінімуму - 2255</c:v>
                </c:pt>
                <c:pt idx="1">
                  <c:v>У розмірі прожиткового мінімуму - 570</c:v>
                </c:pt>
                <c:pt idx="2">
                  <c:v>Вище прожиткового мінімуму - 24857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Нижче прожиткового мінімуму - 2255</c:v>
                </c:pt>
                <c:pt idx="1">
                  <c:v>У розмірі прожиткового мінімуму - 570</c:v>
                </c:pt>
                <c:pt idx="2">
                  <c:v>Вище прожиткового мінімуму - 24857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5398">
          <a:noFill/>
        </a:ln>
      </c:spPr>
    </c:plotArea>
    <c:legend>
      <c:legendPos val="r"/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УПФУ в Старобільському районі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Administrator</dc:creator>
  <cp:keywords/>
  <dc:description/>
  <cp:lastModifiedBy>Admin</cp:lastModifiedBy>
  <cp:revision>3</cp:revision>
  <cp:lastPrinted>2016-10-10T09:41:00Z</cp:lastPrinted>
  <dcterms:created xsi:type="dcterms:W3CDTF">2017-06-09T05:37:00Z</dcterms:created>
  <dcterms:modified xsi:type="dcterms:W3CDTF">2017-06-09T05:37:00Z</dcterms:modified>
</cp:coreProperties>
</file>