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2" w:rsidRPr="007F4992" w:rsidRDefault="007F4992" w:rsidP="007F4992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Урядова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програма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підтримки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суб’єктів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господарювання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АПК</w:t>
      </w:r>
      <w:bookmarkStart w:id="0" w:name="_GoBack"/>
      <w:bookmarkEnd w:id="0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br/>
        <w:t xml:space="preserve">шляхом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здешевлення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кредитів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у 2021 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році</w:t>
      </w:r>
      <w:proofErr w:type="spellEnd"/>
    </w:p>
    <w:p w:rsidR="007F4992" w:rsidRPr="00495968" w:rsidRDefault="007F4992" w:rsidP="0049596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ru-RU"/>
        </w:rPr>
      </w:pPr>
    </w:p>
    <w:p w:rsidR="007F4992" w:rsidRPr="00495968" w:rsidRDefault="00495968" w:rsidP="0049596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ru-RU"/>
        </w:rPr>
      </w:pPr>
      <w:hyperlink r:id="rId5" w:history="1"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ПОРЯДОК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використання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коштів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,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передбачених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у державному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бюджеті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для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фінансової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підтримки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заходів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в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агропромисловому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комплексі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шляхом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здешевлення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кредитів</w:t>
        </w:r>
        <w:proofErr w:type="spellEnd"/>
      </w:hyperlink>
    </w:p>
    <w:p w:rsidR="007F4992" w:rsidRPr="00495968" w:rsidRDefault="00495968" w:rsidP="0049596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ru-RU"/>
        </w:rPr>
      </w:pPr>
      <w:hyperlink r:id="rId6" w:history="1"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Наказ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Міністерства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розвитку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економіки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,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торгівлі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та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сільського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господарства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України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від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04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червня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2020 № 1049 "Про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затвердження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форм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документів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щодо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здійснення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фінансової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підтримки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заходів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в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агропромисловому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комплексі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шляхом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здешевлення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кредитів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"</w:t>
        </w:r>
      </w:hyperlink>
    </w:p>
    <w:p w:rsidR="007F4992" w:rsidRPr="00495968" w:rsidRDefault="00495968" w:rsidP="00495968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sz w:val="27"/>
          <w:szCs w:val="27"/>
          <w:lang w:val="ru-RU"/>
        </w:rPr>
      </w:pPr>
      <w:hyperlink r:id="rId7" w:history="1"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Наказ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Міністерства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розвитку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економіки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,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торгівлі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та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сільського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господарства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України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від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23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березня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2021 № 598 "Про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внесення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змін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до наказу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Міністерства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розвитку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економіки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,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торгівлі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та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сільського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господарства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України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від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04 </w:t>
        </w:r>
        <w:proofErr w:type="spellStart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>червня</w:t>
        </w:r>
        <w:proofErr w:type="spellEnd"/>
        <w:r w:rsidR="007F4992" w:rsidRPr="00495968">
          <w:rPr>
            <w:rFonts w:ascii="ProbaPro" w:eastAsia="Times New Roman" w:hAnsi="ProbaPro" w:cs="Times New Roman"/>
            <w:b/>
            <w:bCs/>
            <w:sz w:val="27"/>
            <w:szCs w:val="27"/>
            <w:bdr w:val="none" w:sz="0" w:space="0" w:color="auto" w:frame="1"/>
            <w:lang w:val="ru-RU"/>
          </w:rPr>
          <w:t xml:space="preserve"> 2020 року №1049"</w:t>
        </w:r>
      </w:hyperlink>
    </w:p>
    <w:tbl>
      <w:tblPr>
        <w:tblW w:w="12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6158"/>
      </w:tblGrid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Кому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видаватимуться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кошти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АПК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юридичним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особам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організаційно-правової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фізичним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особам –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підприємцям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Розмір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компенсації</w:t>
            </w:r>
            <w:proofErr w:type="spellEnd"/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1,5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облікової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ставки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банку,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діє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дату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вище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розмірів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кредитними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договорами,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зменшених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5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відсоткових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пунктів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Які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є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обмеження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у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компенсації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</w:p>
        </w:tc>
      </w:tr>
      <w:tr w:rsidR="007F4992" w:rsidRPr="007F4992" w:rsidTr="007F4992">
        <w:tc>
          <w:tcPr>
            <w:tcW w:w="32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15 млн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–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(у т. ч.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пов’язаних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ним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провадять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діяльність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галузях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тваринництва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використали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кредитні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покриття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пов’язаних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провадженням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галузі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тваринництва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5 млн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грн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–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(у т. ч.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пов’язаних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ним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осіб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)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позичальників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На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надається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підтримка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Компенсація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відсоткових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ставок за кредитами: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короткостроковими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кредитами,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залученими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поповнення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обігових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середньостроковими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кредитами,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залученими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поповнення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обігових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сільськогосподарського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пов’язаних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реконструкцією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виробничих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сільськогосподарського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переробкою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сільськогосподарської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довгостроковими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кредитами,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залученими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придбання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сільськогосподарського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переробки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сільськогосподарської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продукції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реконструкції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виробничих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числі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сховищ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зберігання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зерна,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овочів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фруктів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Які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є до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учасників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порушених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справ про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банкрутство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не бути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банкрутами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перебувати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стадії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ліквідації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перше число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місяця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буде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прийматися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рішення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виплат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простроченої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більше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ніж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6-ть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місяців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платежів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контроль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справленням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покладено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органи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ДПС;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подавати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компенсацію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укладеними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кредитними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договорами,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якими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здешевлюються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державних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регіональних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Які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дії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необхідно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зробити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щоб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отримувати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компенсацію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відсотків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залучити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кредити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поновлювальні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не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поновлювальні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) в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уповноваженому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банку;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використати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кредитні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цільовим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призначенням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</w:p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сплачувати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кредитами.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За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який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період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підлягають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відшкодуванню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відсотки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рахунок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коштів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поточного бюджетного року?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Нараховані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сплачені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кредитами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січень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жовтень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року та листопад-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грудень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минулого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року.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Коли і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куди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необхідно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звернутися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подати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документи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Щороку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1 листопада подати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уповноваженим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банкам (де залучено кредит) заявку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отримання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Коли і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куди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надійдуть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кошти</w:t>
            </w:r>
            <w:proofErr w:type="spellEnd"/>
            <w:r w:rsidRPr="007F4992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</w:p>
        </w:tc>
      </w:tr>
      <w:tr w:rsidR="007F4992" w:rsidRPr="007F4992" w:rsidTr="007F4992">
        <w:tc>
          <w:tcPr>
            <w:tcW w:w="657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F4992" w:rsidRPr="007F4992" w:rsidRDefault="007F4992" w:rsidP="007F499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Щомісячно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виходячи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фактично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сплачених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відсотків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кредитами та у межах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виділених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асигнувань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відкритий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уповноваженому</w:t>
            </w:r>
            <w:proofErr w:type="spellEnd"/>
            <w:r w:rsidRPr="007F4992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банку.</w:t>
            </w:r>
          </w:p>
        </w:tc>
      </w:tr>
    </w:tbl>
    <w:p w:rsidR="007F4992" w:rsidRPr="007F4992" w:rsidRDefault="007F4992" w:rsidP="007F499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</w:p>
    <w:p w:rsidR="007F4992" w:rsidRPr="007F4992" w:rsidRDefault="007F4992" w:rsidP="007F4992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proofErr w:type="spellStart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>Додаткові</w:t>
      </w:r>
      <w:proofErr w:type="spellEnd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>питання</w:t>
      </w:r>
      <w:proofErr w:type="spellEnd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>можна</w:t>
      </w:r>
      <w:proofErr w:type="spellEnd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 xml:space="preserve"> </w:t>
      </w:r>
      <w:proofErr w:type="spellStart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>поставити</w:t>
      </w:r>
      <w:proofErr w:type="spellEnd"/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val="ru-RU"/>
        </w:rPr>
        <w:t xml:space="preserve"> за е-мейлом:</w:t>
      </w:r>
      <w:r w:rsidRPr="007F4992">
        <w:rPr>
          <w:rFonts w:ascii="ProbaPro" w:eastAsia="Times New Roman" w:hAnsi="ProbaPro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</w:rPr>
        <w:t> </w:t>
      </w:r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a</w:t>
      </w:r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val="ru-RU"/>
        </w:rPr>
        <w:t>.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nihaieva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val="ru-RU"/>
        </w:rPr>
        <w:t>@</w:t>
      </w:r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me</w:t>
      </w:r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val="ru-RU"/>
        </w:rPr>
        <w:t>.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gov</w:t>
      </w:r>
      <w:proofErr w:type="spellEnd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val="ru-RU"/>
        </w:rPr>
        <w:t>.</w:t>
      </w:r>
      <w:proofErr w:type="spellStart"/>
      <w:r w:rsidRPr="007F4992">
        <w:rPr>
          <w:rFonts w:ascii="ProbaPro" w:eastAsia="Times New Roman" w:hAnsi="ProbaPro" w:cs="Times New Roman"/>
          <w:b/>
          <w:bCs/>
          <w:color w:val="000000"/>
          <w:sz w:val="27"/>
          <w:szCs w:val="27"/>
          <w:u w:val="single"/>
          <w:bdr w:val="none" w:sz="0" w:space="0" w:color="auto" w:frame="1"/>
        </w:rPr>
        <w:t>ua</w:t>
      </w:r>
      <w:proofErr w:type="spellEnd"/>
    </w:p>
    <w:p w:rsidR="00EE757F" w:rsidRPr="007F4992" w:rsidRDefault="00EE757F" w:rsidP="007F4992">
      <w:pPr>
        <w:spacing w:after="0" w:line="240" w:lineRule="auto"/>
        <w:rPr>
          <w:lang w:val="ru-RU"/>
        </w:rPr>
      </w:pPr>
    </w:p>
    <w:sectPr w:rsidR="00EE757F" w:rsidRPr="007F4992" w:rsidSect="007F499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FEA"/>
    <w:multiLevelType w:val="multilevel"/>
    <w:tmpl w:val="04B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193"/>
    <w:rsid w:val="00334677"/>
    <w:rsid w:val="00495968"/>
    <w:rsid w:val="00663193"/>
    <w:rsid w:val="007F4992"/>
    <w:rsid w:val="00EE757F"/>
    <w:rsid w:val="00F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33CF7-4BD3-4E5D-A5A7-580A2F57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ro.me.gov.ua/ua/npa/pro-vnesennya-zmin-do-nakazu-ministerstva-rozvitku-ekonomiki-torgivli-ta-silskogo-gospodarstva-ukrayini-vid-04-chervnya-2020-roku-1049-2?v=6062d48a89f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.me.gov.ua/ua/npa/pro-zatverdzhennya-form-dokumentiv-shchodo-zdijsnennya-finansovoyi-pidtrimki-zahodiv-v-agropromislovomu-kompleksi-shlyahom-zdeshevlennya-kreditiv-2?v=5ef5a68da8be4" TargetMode="External"/><Relationship Id="rId5" Type="http://schemas.openxmlformats.org/officeDocument/2006/relationships/hyperlink" Target="https://zakon.rada.gov.ua/laws/show/300-2015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2021-04-14T10:13:00Z</dcterms:created>
  <dcterms:modified xsi:type="dcterms:W3CDTF">2021-04-21T06:52:00Z</dcterms:modified>
</cp:coreProperties>
</file>