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55" w:rsidRPr="00610246" w:rsidRDefault="00925055" w:rsidP="004C61E2">
      <w:pPr>
        <w:spacing w:after="0" w:line="240" w:lineRule="auto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</w:pP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Урядова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програма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фінансової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підтримки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розвитку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садівництва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, виноградарства та </w:t>
      </w:r>
      <w:proofErr w:type="spellStart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>хмелярства</w:t>
      </w:r>
      <w:proofErr w:type="spellEnd"/>
      <w:r w:rsidRPr="00610246">
        <w:rPr>
          <w:rFonts w:ascii="ProbaPro-SemiBold" w:eastAsia="Times New Roman" w:hAnsi="ProbaPro-SemiBold" w:cs="Times New Roman"/>
          <w:b/>
          <w:bCs/>
          <w:color w:val="000000"/>
          <w:kern w:val="36"/>
          <w:sz w:val="32"/>
          <w:szCs w:val="32"/>
          <w:lang w:val="ru-RU"/>
        </w:rPr>
        <w:t xml:space="preserve"> 2021</w:t>
      </w:r>
    </w:p>
    <w:p w:rsidR="00925055" w:rsidRPr="00925055" w:rsidRDefault="00925055" w:rsidP="004C61E2">
      <w:pPr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6D727C"/>
          <w:sz w:val="21"/>
          <w:szCs w:val="21"/>
          <w:lang w:val="ru-RU"/>
        </w:rPr>
      </w:pPr>
      <w:proofErr w:type="spellStart"/>
      <w:r w:rsidRPr="00925055">
        <w:rPr>
          <w:rFonts w:ascii="ProbaPro" w:eastAsia="Times New Roman" w:hAnsi="ProbaPro" w:cs="Times New Roman"/>
          <w:color w:val="6D727C"/>
          <w:sz w:val="21"/>
          <w:szCs w:val="21"/>
          <w:lang w:val="ru-RU"/>
        </w:rPr>
        <w:t>Опубліковано</w:t>
      </w:r>
      <w:proofErr w:type="spellEnd"/>
      <w:r w:rsidRPr="00925055">
        <w:rPr>
          <w:rFonts w:ascii="ProbaPro" w:eastAsia="Times New Roman" w:hAnsi="ProbaPro" w:cs="Times New Roman"/>
          <w:color w:val="6D727C"/>
          <w:sz w:val="21"/>
          <w:szCs w:val="21"/>
          <w:lang w:val="ru-RU"/>
        </w:rPr>
        <w:t xml:space="preserve"> 09 </w:t>
      </w:r>
      <w:proofErr w:type="spellStart"/>
      <w:r w:rsidRPr="00925055">
        <w:rPr>
          <w:rFonts w:ascii="ProbaPro" w:eastAsia="Times New Roman" w:hAnsi="ProbaPro" w:cs="Times New Roman"/>
          <w:color w:val="6D727C"/>
          <w:sz w:val="21"/>
          <w:szCs w:val="21"/>
          <w:lang w:val="ru-RU"/>
        </w:rPr>
        <w:t>квітня</w:t>
      </w:r>
      <w:proofErr w:type="spellEnd"/>
      <w:r w:rsidRPr="00925055">
        <w:rPr>
          <w:rFonts w:ascii="ProbaPro" w:eastAsia="Times New Roman" w:hAnsi="ProbaPro" w:cs="Times New Roman"/>
          <w:color w:val="6D727C"/>
          <w:sz w:val="21"/>
          <w:szCs w:val="21"/>
          <w:lang w:val="ru-RU"/>
        </w:rPr>
        <w:t xml:space="preserve"> 2021 року, 13:05</w:t>
      </w:r>
    </w:p>
    <w:p w:rsidR="00925055" w:rsidRPr="00925055" w:rsidRDefault="00925055" w:rsidP="004C61E2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r w:rsidRPr="00925055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Нормативно-</w:t>
      </w:r>
      <w:proofErr w:type="spellStart"/>
      <w:r w:rsidRPr="00925055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правові</w:t>
      </w:r>
      <w:proofErr w:type="spellEnd"/>
      <w:r w:rsidRPr="00925055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акти</w:t>
      </w:r>
      <w:proofErr w:type="spellEnd"/>
    </w:p>
    <w:p w:rsidR="00925055" w:rsidRPr="00925055" w:rsidRDefault="00A71ECE" w:rsidP="004C61E2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hyperlink r:id="rId4" w:history="1"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Постановою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Уряду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19 лютого 2020 року № 109 «Про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внесення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змін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до постанови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Кабінету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Міністрів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України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="00925055"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8 лютого 2017 року № 77»</w:t>
        </w:r>
      </w:hyperlink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,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визначено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напрями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державної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підтримки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, одним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із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яких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є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фінансова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підтримка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розвитку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садівництва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, виноградарства та </w:t>
      </w:r>
      <w:proofErr w:type="spellStart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хмелярства</w:t>
      </w:r>
      <w:proofErr w:type="spellEnd"/>
      <w:r w:rsidR="00925055"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.</w:t>
      </w:r>
    </w:p>
    <w:p w:rsidR="00925055" w:rsidRPr="00925055" w:rsidRDefault="00925055" w:rsidP="004C61E2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Механізм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і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напрями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надання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підтримки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розвитку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садівництва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, виноградарства та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хмелярства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визначено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постановою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Кабінету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Міністрів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України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від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15.07.2005 № 587 “Про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затвердження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hyperlink r:id="rId5" w:history="1"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Порядку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використання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коштів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,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передбачених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у державному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бюджеті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для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розвитку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виноградарства,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садівництва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і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хмелярства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”</w:t>
        </w:r>
      </w:hyperlink>
      <w:r w:rsidRPr="00925055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(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із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змінами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від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10.03.2021 №185).</w:t>
      </w:r>
    </w:p>
    <w:p w:rsidR="00925055" w:rsidRPr="00925055" w:rsidRDefault="00925055" w:rsidP="004C61E2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</w:pP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Форми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заявок та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відповідних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документів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для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нарахування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та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виплати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підтримки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розвитку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садівництва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, виноградарства та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хмелярства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затверджені</w:t>
      </w:r>
      <w:proofErr w:type="spellEnd"/>
      <w:r w:rsidRPr="00925055">
        <w:rPr>
          <w:rFonts w:ascii="ProbaPro" w:eastAsia="Times New Roman" w:hAnsi="ProbaPro" w:cs="Times New Roman"/>
          <w:color w:val="000000"/>
          <w:sz w:val="27"/>
          <w:szCs w:val="27"/>
        </w:rPr>
        <w:t> </w:t>
      </w:r>
      <w:hyperlink r:id="rId6" w:history="1"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наказом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Мінекономіки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</w:t>
        </w:r>
        <w:proofErr w:type="spellStart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>від</w:t>
        </w:r>
        <w:proofErr w:type="spellEnd"/>
        <w:r w:rsidRPr="00925055">
          <w:rPr>
            <w:rFonts w:ascii="ProbaPro" w:eastAsia="Times New Roman" w:hAnsi="ProbaPro" w:cs="Times New Roman"/>
            <w:color w:val="2D5CA6"/>
            <w:sz w:val="27"/>
            <w:szCs w:val="27"/>
            <w:u w:val="single"/>
            <w:bdr w:val="none" w:sz="0" w:space="0" w:color="auto" w:frame="1"/>
            <w:lang w:val="ru-RU"/>
          </w:rPr>
          <w:t xml:space="preserve"> 24.03.2021 № 622</w:t>
        </w:r>
      </w:hyperlink>
      <w:r w:rsidRPr="00925055">
        <w:rPr>
          <w:rFonts w:ascii="ProbaPro" w:eastAsia="Times New Roman" w:hAnsi="ProbaPro" w:cs="Times New Roman"/>
          <w:color w:val="000000"/>
          <w:sz w:val="27"/>
          <w:szCs w:val="27"/>
          <w:lang w:val="ru-RU"/>
        </w:rPr>
        <w:t>.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582"/>
        <w:gridCol w:w="40"/>
        <w:gridCol w:w="3376"/>
        <w:gridCol w:w="5387"/>
      </w:tblGrid>
      <w:tr w:rsidR="00925055" w:rsidRPr="004C61E2" w:rsidTr="00A71E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Саджанці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шпалера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краплинне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зрошення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Техніка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механізми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обладнання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зокрема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іноземного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виробництва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виробляються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Україні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для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технологічних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операцій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виноградарстві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садівництві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хмелярстві</w:t>
            </w:r>
            <w:proofErr w:type="spellEnd"/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Нове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будівництво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реконструкція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холодильників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цехів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первинної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переробки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об’єктів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із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заморожування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Придбання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ліній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товарної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обробки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плодів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ягід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автоматизованих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ліній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висушування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плодів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ягід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хмелю,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ліній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з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переробки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власно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вирощених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плодів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ягід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технічних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сортів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винограду,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техніки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обладнання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для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проведення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технологічних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операцій</w:t>
            </w:r>
            <w:proofErr w:type="spellEnd"/>
          </w:p>
        </w:tc>
      </w:tr>
      <w:tr w:rsidR="00925055" w:rsidRPr="00925055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Розмір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компенсації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витрат</w:t>
            </w:r>
            <w:proofErr w:type="spellEnd"/>
          </w:p>
        </w:tc>
      </w:tr>
      <w:tr w:rsidR="00925055" w:rsidRPr="00925055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саджанці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80 %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але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встановлені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нормативи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техніки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механізмів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іноземного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виробництва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виробляються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Україні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технологічних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операцій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виноградарстві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садівництві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хмелярстві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30%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решта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напрямів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50 %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здійснених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витрат</w:t>
            </w:r>
            <w:proofErr w:type="spellEnd"/>
          </w:p>
        </w:tc>
      </w:tr>
      <w:tr w:rsidR="00925055" w:rsidRPr="00925055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надається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підтримка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 </w:t>
            </w:r>
          </w:p>
        </w:tc>
      </w:tr>
      <w:tr w:rsidR="00925055" w:rsidRPr="004C61E2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підлягає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введених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 01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попереднього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року по 30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вересня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року,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ліній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придбаних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той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самий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придбаних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цей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же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виконаних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925055" w:rsidRPr="00925055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Кому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видаватимуться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кошти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925055" w:rsidRPr="004C61E2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юридичним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особам,</w:t>
            </w:r>
          </w:p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фізичним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особам-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підприємцям</w:t>
            </w:r>
            <w:proofErr w:type="spellEnd"/>
          </w:p>
        </w:tc>
      </w:tr>
      <w:tr w:rsidR="00925055" w:rsidRPr="00925055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Які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документи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необхідно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зібрати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?</w:t>
            </w:r>
          </w:p>
        </w:tc>
      </w:tr>
      <w:tr w:rsidR="00925055" w:rsidRPr="00925055" w:rsidTr="00A71ECE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заявку;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відкриття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видану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банком;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письмове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 державного бюджету</w:t>
            </w:r>
            <w:proofErr w:type="gram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контролюючими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органами факту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незаконного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одержання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нецільового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посвідчують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власності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земельною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ділянкою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проектної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виноградників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столових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сортів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плодово-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ягідних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хмільників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затвердженої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проектної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створення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виноградників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технічних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сортів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; акт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інвентаризації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формою,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затвердженою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акт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фактичний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обсяг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виконаних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 формою,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затвердженою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реєстри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разом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із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завіреними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копіями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первинних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бухгалтерських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такі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балансі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сертифікатів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садіння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(ремонту)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): для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вітчизняного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виробництва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сертифіката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засвідчує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сортові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засвідчує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товарні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; для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ввезеного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митну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територію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садивного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матеріалу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фітосанітарного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сертифіката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країни-експортера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фотоматеріали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підтвердженням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садіння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(ремонту)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спорудження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шпалери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систем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краплинного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зрошення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заявку;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відкриття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видану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банком;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письмове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 державного бюджету</w:t>
            </w:r>
            <w:proofErr w:type="gram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контролюючими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органами факту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незаконного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одержання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нецільового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приймання-передачі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техніки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механізмів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свідоцтва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реєстрацію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техніки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механізмів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вони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підлягають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обов’язковій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державній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відомчій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реєстрації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первинних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бухгалтерських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відповідні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витрати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балансі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техніки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механізмів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оплати за них;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інвентаризації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заявку;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відкриття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видану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банком;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письмове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 державного бюджету</w:t>
            </w:r>
            <w:proofErr w:type="gram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контролюючими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органами факту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незаконного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одержання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нецільового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відомості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експлуатацію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закінченого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будівництвом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типову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форму № ОЗ-1 “Акт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приймання-передачі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внутрішнього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переміщення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основних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засобів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” — для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будівництва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типову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форму № ОЗ-2 “Акт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приймання-здачі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відремонтованих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реконструйованих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модернізованих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” — для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реконструкції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об’єктів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копію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кошторисної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технологічної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проектної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інвентаризації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lastRenderedPageBreak/>
              <w:t>заявку;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довідку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відкриття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видану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банком;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письмове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зобов’язання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повернення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 державного бюджету</w:t>
            </w:r>
            <w:proofErr w:type="gram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місячний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строк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бюджетних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разі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контролюючими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органами факту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незаконного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одержання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та/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нецільового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акт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завершення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монтажу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готовність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лінії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засвідчені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підписом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керівника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суб’єкта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господарювання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копії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первинних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бухгалтерських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підтверджують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облік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балансі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ліній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зокрема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документів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оплати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вартості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акт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інвента</w:t>
            </w:r>
            <w:bookmarkStart w:id="0" w:name="_GoBack"/>
            <w:bookmarkEnd w:id="0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ризації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насаджень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055" w:rsidRPr="004C61E2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 xml:space="preserve">Коли і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куди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необхідно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звернутися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та подати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документи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</w:p>
        </w:tc>
      </w:tr>
      <w:tr w:rsidR="00925055" w:rsidRPr="004C61E2" w:rsidTr="00A71ECE"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Подати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15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поточного року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обласній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Подати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15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25055" w:rsidRPr="00925055" w:rsidRDefault="00925055" w:rsidP="004C61E2">
            <w:pPr>
              <w:spacing w:after="0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Вчасно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поданими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вважаються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заявка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надійшли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Мінекономіки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зареєстровані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документообігу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до 15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включно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5055" w:rsidRPr="004C61E2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Коли і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куди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надійдуть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кошти</w:t>
            </w:r>
            <w:proofErr w:type="spellEnd"/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>?</w:t>
            </w:r>
            <w:r w:rsidRPr="00925055">
              <w:rPr>
                <w:rFonts w:ascii="ProbaPro" w:eastAsia="Times New Roman" w:hAnsi="ProbaPro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25055" w:rsidRPr="004C61E2" w:rsidTr="00A71ECE">
        <w:tc>
          <w:tcPr>
            <w:tcW w:w="1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925055" w:rsidRPr="00925055" w:rsidRDefault="00925055" w:rsidP="004C61E2">
            <w:pPr>
              <w:spacing w:after="0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Після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15 листопада 2021 року на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поточний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рахунок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>відкритий</w:t>
            </w:r>
            <w:proofErr w:type="spellEnd"/>
            <w:r w:rsidRPr="00925055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/>
              </w:rPr>
              <w:t xml:space="preserve"> у банку</w:t>
            </w:r>
          </w:p>
        </w:tc>
      </w:tr>
    </w:tbl>
    <w:p w:rsidR="00925055" w:rsidRPr="00925055" w:rsidRDefault="00925055" w:rsidP="004C61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proofErr w:type="spellStart"/>
      <w:r w:rsidRPr="00925055">
        <w:rPr>
          <w:rStyle w:val="a5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Звертаємо</w:t>
      </w:r>
      <w:proofErr w:type="spellEnd"/>
      <w:r w:rsidRPr="00925055">
        <w:rPr>
          <w:rStyle w:val="a5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ru-RU"/>
        </w:rPr>
        <w:t>увагу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: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Часткова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компенсація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витрат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садивного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матеріалу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здійснюється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після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проведення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ними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садіння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або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ремонту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насаджень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а за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спорудження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шпалери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і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встановлення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систем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краплинного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зрошення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після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повного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завершення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монтажних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робіт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.</w:t>
      </w:r>
      <w:r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</w:rPr>
        <w:t> </w:t>
      </w:r>
    </w:p>
    <w:p w:rsidR="00925055" w:rsidRPr="00925055" w:rsidRDefault="00925055" w:rsidP="004C61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lastRenderedPageBreak/>
        <w:t>Бюджетні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кошти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не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надаються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суб’єктам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господарювання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яких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визнано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банкрутами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або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порушено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щодо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них справу про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банкрутство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які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перебувають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у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процесі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реорганізації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чи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ліквідації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або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мають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прострочену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більш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як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півроку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заборгованості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за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податками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та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зборами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що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контролюються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контролюючими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органами.</w:t>
      </w:r>
    </w:p>
    <w:p w:rsidR="00925055" w:rsidRPr="00925055" w:rsidRDefault="00925055" w:rsidP="004C61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Сума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бюджетних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коштів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що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надається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протягом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одного бюджетного року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суб’єкту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господарювання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та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пов’язаним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із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ним особам за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даними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напрямами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державної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підтримки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не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більше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ніж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10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тисяч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розмірів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мінімальної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заробітної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плати,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встановленої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на 1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січня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відповідного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року.</w:t>
      </w:r>
    </w:p>
    <w:p w:rsidR="00925055" w:rsidRPr="00925055" w:rsidRDefault="00925055" w:rsidP="004C61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Документи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що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надійшли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після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закінчення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строку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їх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подання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, не </w:t>
      </w:r>
      <w:proofErr w:type="spellStart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розглядаються</w:t>
      </w:r>
      <w:proofErr w:type="spellEnd"/>
      <w:r w:rsidRPr="00925055">
        <w:rPr>
          <w:rStyle w:val="a5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.</w:t>
      </w:r>
    </w:p>
    <w:p w:rsidR="00925055" w:rsidRPr="00925055" w:rsidRDefault="00925055" w:rsidP="004C61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lang w:val="ru-RU"/>
        </w:rPr>
      </w:pP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Якщо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ще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залишились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запитання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звертайтесь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до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контактної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особи,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відповідальної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за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даний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напрям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державної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 xml:space="preserve"> </w:t>
      </w:r>
      <w:proofErr w:type="spellStart"/>
      <w:r w:rsidRPr="00925055">
        <w:rPr>
          <w:rFonts w:ascii="ProbaPro" w:hAnsi="ProbaPro"/>
          <w:color w:val="000000"/>
          <w:sz w:val="27"/>
          <w:szCs w:val="27"/>
          <w:lang w:val="ru-RU"/>
        </w:rPr>
        <w:t>підтримки</w:t>
      </w:r>
      <w:proofErr w:type="spellEnd"/>
      <w:r w:rsidRPr="00925055">
        <w:rPr>
          <w:rFonts w:ascii="ProbaPro" w:hAnsi="ProbaPro"/>
          <w:color w:val="000000"/>
          <w:sz w:val="27"/>
          <w:szCs w:val="27"/>
          <w:lang w:val="ru-RU"/>
        </w:rPr>
        <w:t>, -</w:t>
      </w:r>
      <w:r w:rsidRPr="00925055">
        <w:rPr>
          <w:rFonts w:ascii="ProbaPro" w:hAnsi="ProbaPro"/>
          <w:color w:val="000000"/>
          <w:sz w:val="27"/>
          <w:szCs w:val="27"/>
          <w:lang w:val="ru-RU"/>
        </w:rPr>
        <w:br/>
      </w:r>
      <w:r w:rsidRPr="00925055">
        <w:rPr>
          <w:rFonts w:ascii="ProbaPro" w:hAnsi="ProbaPro"/>
          <w:color w:val="000000"/>
          <w:sz w:val="27"/>
          <w:szCs w:val="27"/>
          <w:lang w:val="ru-RU"/>
        </w:rPr>
        <w:br/>
      </w:r>
      <w:proofErr w:type="spellStart"/>
      <w:r w:rsidRPr="00925055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Пустовіта</w:t>
      </w:r>
      <w:proofErr w:type="spellEnd"/>
      <w:r w:rsidRPr="00925055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proofErr w:type="spellStart"/>
      <w:r w:rsidRPr="00925055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>Володимира</w:t>
      </w:r>
      <w:proofErr w:type="spellEnd"/>
      <w:r w:rsidRPr="00925055">
        <w:rPr>
          <w:rStyle w:val="a4"/>
          <w:rFonts w:ascii="ProbaPro" w:hAnsi="ProbaPro"/>
          <w:color w:val="000000"/>
          <w:sz w:val="27"/>
          <w:szCs w:val="27"/>
          <w:bdr w:val="none" w:sz="0" w:space="0" w:color="auto" w:frame="1"/>
          <w:lang w:val="ru-RU"/>
        </w:rPr>
        <w:t xml:space="preserve"> Михайловича</w:t>
      </w:r>
      <w:r>
        <w:rPr>
          <w:rFonts w:ascii="ProbaPro" w:hAnsi="ProbaPro"/>
          <w:color w:val="000000"/>
          <w:sz w:val="27"/>
          <w:szCs w:val="27"/>
        </w:rPr>
        <w:t> </w:t>
      </w:r>
      <w:r w:rsidRPr="00925055">
        <w:rPr>
          <w:rFonts w:ascii="ProbaPro" w:hAnsi="ProbaPro"/>
          <w:color w:val="000000"/>
          <w:sz w:val="27"/>
          <w:szCs w:val="27"/>
          <w:lang w:val="ru-RU"/>
        </w:rPr>
        <w:t>(</w:t>
      </w:r>
      <w:r>
        <w:rPr>
          <w:rFonts w:ascii="ProbaPro" w:hAnsi="ProbaPro"/>
          <w:color w:val="000000"/>
          <w:sz w:val="27"/>
          <w:szCs w:val="27"/>
        </w:rPr>
        <w:t>e</w:t>
      </w:r>
      <w:r w:rsidRPr="00925055">
        <w:rPr>
          <w:rFonts w:ascii="ProbaPro" w:hAnsi="ProbaPro"/>
          <w:color w:val="000000"/>
          <w:sz w:val="27"/>
          <w:szCs w:val="27"/>
          <w:lang w:val="ru-RU"/>
        </w:rPr>
        <w:t>-</w:t>
      </w:r>
      <w:r>
        <w:rPr>
          <w:rFonts w:ascii="ProbaPro" w:hAnsi="ProbaPro"/>
          <w:color w:val="000000"/>
          <w:sz w:val="27"/>
          <w:szCs w:val="27"/>
        </w:rPr>
        <w:t>mail</w:t>
      </w:r>
      <w:r w:rsidRPr="00925055">
        <w:rPr>
          <w:rFonts w:ascii="ProbaPro" w:hAnsi="ProbaPro"/>
          <w:color w:val="000000"/>
          <w:sz w:val="27"/>
          <w:szCs w:val="27"/>
          <w:lang w:val="ru-RU"/>
        </w:rPr>
        <w:t>:</w:t>
      </w:r>
      <w:r>
        <w:rPr>
          <w:rFonts w:ascii="ProbaPro" w:hAnsi="ProbaPro"/>
          <w:color w:val="000000"/>
          <w:sz w:val="27"/>
          <w:szCs w:val="27"/>
        </w:rPr>
        <w:t> </w:t>
      </w:r>
      <w:hyperlink r:id="rId7" w:tgtFrame="_blank" w:history="1">
        <w:r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pustovit</w:t>
        </w:r>
        <w:r w:rsidRPr="00925055"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  <w:lang w:val="ru-RU"/>
          </w:rPr>
          <w:t>@</w:t>
        </w:r>
        <w:r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me</w:t>
        </w:r>
        <w:r w:rsidRPr="00925055"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  <w:lang w:val="ru-RU"/>
          </w:rPr>
          <w:t>.</w:t>
        </w:r>
        <w:r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gov</w:t>
        </w:r>
        <w:r w:rsidRPr="00925055"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6"/>
            <w:rFonts w:ascii="ProbaPro" w:hAnsi="ProbaPro"/>
            <w:color w:val="2D5CA6"/>
            <w:sz w:val="27"/>
            <w:szCs w:val="27"/>
            <w:bdr w:val="none" w:sz="0" w:space="0" w:color="auto" w:frame="1"/>
          </w:rPr>
          <w:t>ua</w:t>
        </w:r>
        <w:proofErr w:type="spellEnd"/>
      </w:hyperlink>
      <w:r w:rsidRPr="00925055">
        <w:rPr>
          <w:rFonts w:ascii="ProbaPro" w:hAnsi="ProbaPro"/>
          <w:color w:val="000000"/>
          <w:sz w:val="27"/>
          <w:szCs w:val="27"/>
          <w:lang w:val="ru-RU"/>
        </w:rPr>
        <w:t>, тел.: (044) 200 47 73 #4024)</w:t>
      </w:r>
    </w:p>
    <w:p w:rsidR="009B7121" w:rsidRPr="00925055" w:rsidRDefault="009B7121" w:rsidP="004C61E2">
      <w:pPr>
        <w:spacing w:after="0" w:line="240" w:lineRule="auto"/>
        <w:rPr>
          <w:lang w:val="ru-RU"/>
        </w:rPr>
      </w:pPr>
    </w:p>
    <w:p w:rsidR="00610246" w:rsidRPr="00925055" w:rsidRDefault="00610246" w:rsidP="004C61E2">
      <w:pPr>
        <w:spacing w:after="0" w:line="240" w:lineRule="auto"/>
        <w:rPr>
          <w:lang w:val="ru-RU"/>
        </w:rPr>
      </w:pPr>
    </w:p>
    <w:sectPr w:rsidR="00610246" w:rsidRPr="00925055" w:rsidSect="00610246">
      <w:pgSz w:w="15840" w:h="12240" w:orient="landscape"/>
      <w:pgMar w:top="295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SemiBold">
    <w:altName w:val="Times New Roman"/>
    <w:panose1 w:val="00000000000000000000"/>
    <w:charset w:val="00"/>
    <w:family w:val="roman"/>
    <w:notTrueType/>
    <w:pitch w:val="default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9FB"/>
    <w:rsid w:val="0009613E"/>
    <w:rsid w:val="004C61E2"/>
    <w:rsid w:val="005A49FB"/>
    <w:rsid w:val="00610246"/>
    <w:rsid w:val="007F7B7A"/>
    <w:rsid w:val="00925055"/>
    <w:rsid w:val="009B7121"/>
    <w:rsid w:val="00A71ECE"/>
    <w:rsid w:val="00B3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5DF1-E4F1-4852-9D07-3E1441F7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055"/>
    <w:rPr>
      <w:b/>
      <w:bCs/>
    </w:rPr>
  </w:style>
  <w:style w:type="character" w:styleId="a5">
    <w:name w:val="Emphasis"/>
    <w:basedOn w:val="a0"/>
    <w:uiPriority w:val="20"/>
    <w:qFormat/>
    <w:rsid w:val="00925055"/>
    <w:rPr>
      <w:i/>
      <w:iCs/>
    </w:rPr>
  </w:style>
  <w:style w:type="character" w:styleId="a6">
    <w:name w:val="Hyperlink"/>
    <w:basedOn w:val="a0"/>
    <w:uiPriority w:val="99"/>
    <w:semiHidden/>
    <w:unhideWhenUsed/>
    <w:rsid w:val="0092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75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stovit@me.go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me.gov.ua/ua/npa/pro-zatverdzhennya-normativiv-form-zvitnosti-pereliku-tehniki-ta-obladnannya-peredbachenih-dlya-nadannya-finansovoyi-pidtrimki-rozvitku-sadivnictva-vinogradarstva-ta-hmelyarstva" TargetMode="External"/><Relationship Id="rId5" Type="http://schemas.openxmlformats.org/officeDocument/2006/relationships/hyperlink" Target="https://zakon.rada.gov.ua/laws/show/587-2005-%D0%BF" TargetMode="External"/><Relationship Id="rId4" Type="http://schemas.openxmlformats.org/officeDocument/2006/relationships/hyperlink" Target="https://zakon.rada.gov.ua/laws/show/77-2017-%D0%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2021-04-14T10:26:00Z</dcterms:created>
  <dcterms:modified xsi:type="dcterms:W3CDTF">2021-04-21T06:52:00Z</dcterms:modified>
</cp:coreProperties>
</file>