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F0" w:rsidRDefault="007B6EF0" w:rsidP="00447692">
      <w:pPr>
        <w:rPr>
          <w:lang w:val="uk-UA"/>
        </w:rPr>
      </w:pPr>
    </w:p>
    <w:p w:rsidR="00B42912" w:rsidRDefault="00424448" w:rsidP="007B6EF0">
      <w:pPr>
        <w:jc w:val="center"/>
        <w:rPr>
          <w:b/>
          <w:lang w:val="uk-UA"/>
        </w:rPr>
      </w:pPr>
      <w:r>
        <w:rPr>
          <w:b/>
          <w:lang w:val="uk-UA"/>
        </w:rPr>
        <w:t>Кон</w:t>
      </w:r>
      <w:r w:rsidR="00447692" w:rsidRPr="007B6EF0">
        <w:rPr>
          <w:b/>
          <w:lang w:val="uk-UA"/>
        </w:rPr>
        <w:t>цепція</w:t>
      </w:r>
    </w:p>
    <w:p w:rsidR="00447692" w:rsidRPr="007B6EF0" w:rsidRDefault="00447692" w:rsidP="007B6EF0">
      <w:pPr>
        <w:jc w:val="center"/>
        <w:rPr>
          <w:b/>
          <w:lang w:val="uk-UA"/>
        </w:rPr>
      </w:pPr>
      <w:r w:rsidRPr="007B6EF0">
        <w:rPr>
          <w:b/>
          <w:lang w:val="uk-UA"/>
        </w:rPr>
        <w:t xml:space="preserve">Панельна дискусія / </w:t>
      </w:r>
      <w:proofErr w:type="spellStart"/>
      <w:r w:rsidR="000652F9" w:rsidRPr="000652F9">
        <w:rPr>
          <w:b/>
          <w:lang w:val="uk-UA"/>
        </w:rPr>
        <w:t>стрімінг</w:t>
      </w:r>
      <w:proofErr w:type="spellEnd"/>
      <w:r w:rsidR="000652F9" w:rsidRPr="000652F9">
        <w:rPr>
          <w:b/>
          <w:lang w:val="uk-UA"/>
        </w:rPr>
        <w:t xml:space="preserve"> у</w:t>
      </w:r>
      <w:r w:rsidR="00F96CB6" w:rsidRPr="000652F9">
        <w:rPr>
          <w:b/>
          <w:lang w:val="uk-UA"/>
        </w:rPr>
        <w:t xml:space="preserve"> </w:t>
      </w:r>
      <w:proofErr w:type="spellStart"/>
      <w:r w:rsidRPr="007B6EF0">
        <w:rPr>
          <w:b/>
          <w:lang w:val="uk-UA"/>
        </w:rPr>
        <w:t>Facebook</w:t>
      </w:r>
      <w:proofErr w:type="spellEnd"/>
    </w:p>
    <w:p w:rsidR="00447692" w:rsidRPr="007B6EF0" w:rsidRDefault="00EB4FDE" w:rsidP="007B6EF0">
      <w:pPr>
        <w:jc w:val="center"/>
        <w:rPr>
          <w:b/>
          <w:lang w:val="uk-UA"/>
        </w:rPr>
      </w:pPr>
      <w:r>
        <w:rPr>
          <w:b/>
          <w:lang w:val="uk-UA"/>
        </w:rPr>
        <w:t>"</w:t>
      </w:r>
      <w:r w:rsidR="00B42912">
        <w:rPr>
          <w:b/>
          <w:lang w:val="uk-UA"/>
        </w:rPr>
        <w:t>Ж</w:t>
      </w:r>
      <w:r w:rsidR="00112DD4">
        <w:rPr>
          <w:b/>
          <w:lang w:val="uk-UA"/>
        </w:rPr>
        <w:t>итлов</w:t>
      </w:r>
      <w:r w:rsidR="00B42912">
        <w:rPr>
          <w:b/>
          <w:lang w:val="uk-UA"/>
        </w:rPr>
        <w:t>і</w:t>
      </w:r>
      <w:r w:rsidR="00112DD4">
        <w:rPr>
          <w:b/>
          <w:lang w:val="uk-UA"/>
        </w:rPr>
        <w:t>, земельн</w:t>
      </w:r>
      <w:r w:rsidR="00B42912">
        <w:rPr>
          <w:b/>
          <w:lang w:val="uk-UA"/>
        </w:rPr>
        <w:t>і</w:t>
      </w:r>
      <w:r w:rsidR="00112DD4">
        <w:rPr>
          <w:b/>
          <w:lang w:val="uk-UA"/>
        </w:rPr>
        <w:t xml:space="preserve"> та майнов</w:t>
      </w:r>
      <w:r w:rsidR="00B42912">
        <w:rPr>
          <w:b/>
          <w:lang w:val="uk-UA"/>
        </w:rPr>
        <w:t xml:space="preserve">і </w:t>
      </w:r>
      <w:r w:rsidR="00447692" w:rsidRPr="007B6EF0">
        <w:rPr>
          <w:b/>
          <w:lang w:val="uk-UA"/>
        </w:rPr>
        <w:t>прав</w:t>
      </w:r>
      <w:r w:rsidR="00B42912">
        <w:rPr>
          <w:b/>
          <w:lang w:val="uk-UA"/>
        </w:rPr>
        <w:t>а внутрішньо переміщених та постраждалих від конфлікту громад на Сході України</w:t>
      </w:r>
      <w:r w:rsidR="00447692" w:rsidRPr="007B6EF0">
        <w:rPr>
          <w:b/>
          <w:lang w:val="uk-UA"/>
        </w:rPr>
        <w:t>"</w:t>
      </w:r>
    </w:p>
    <w:p w:rsidR="00447692" w:rsidRPr="00A02C1E" w:rsidRDefault="00447692" w:rsidP="007B6EF0">
      <w:pPr>
        <w:jc w:val="center"/>
        <w:rPr>
          <w:lang w:val="uk-UA"/>
        </w:rPr>
      </w:pPr>
      <w:r w:rsidRPr="00A02C1E">
        <w:rPr>
          <w:lang w:val="uk-UA"/>
        </w:rPr>
        <w:t>28 листопада 2017 р</w:t>
      </w:r>
    </w:p>
    <w:p w:rsidR="00AD7EAD" w:rsidRPr="00A02C1E" w:rsidRDefault="00AD7EAD" w:rsidP="00AD7EAD">
      <w:pPr>
        <w:rPr>
          <w:lang w:val="uk-UA"/>
        </w:rPr>
      </w:pPr>
      <w:r w:rsidRPr="00A02C1E">
        <w:rPr>
          <w:b/>
          <w:bCs/>
          <w:lang w:val="uk-UA"/>
        </w:rPr>
        <w:t> </w:t>
      </w:r>
    </w:p>
    <w:p w:rsidR="00205D1C" w:rsidRPr="00A77C1E" w:rsidRDefault="00AD7EAD" w:rsidP="00205D1C">
      <w:pPr>
        <w:jc w:val="both"/>
        <w:rPr>
          <w:lang w:val="uk-UA"/>
        </w:rPr>
      </w:pPr>
      <w:r w:rsidRPr="00205D1C">
        <w:rPr>
          <w:b/>
          <w:bCs/>
          <w:lang w:val="uk-UA"/>
        </w:rPr>
        <w:t>Передумови:</w:t>
      </w:r>
      <w:r w:rsidR="00EB4FDE" w:rsidRPr="00142829">
        <w:rPr>
          <w:lang w:val="uk-UA"/>
        </w:rPr>
        <w:t> 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Понад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три роки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бойових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дій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на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Сході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України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призвели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до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тисяч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жертв,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переміщення</w:t>
      </w:r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мільйонів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людей як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всередині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країни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так і за кордон,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значного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знищення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інфраструктури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цивільного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житла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землі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майна. 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У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листопаді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2015 р. </w:t>
      </w:r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NRC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опублікувала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комплексне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дослідження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"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Житлові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земельні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внутрішньо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осіб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громад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постраждали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конфлікту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Східній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Україні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", в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якому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викладені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критичні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проблеми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запропоновані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рішення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цій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сфері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Д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ва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роки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минуло,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але у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вирішенні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основних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питань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є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або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невеликий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прогрес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,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або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взагалі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немає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будь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яких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рішень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: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відсутність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стратегії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доступного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житла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для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осіб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використання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власності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цивільних осіб військовими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;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за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міновані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землі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сільськогосподарського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призначення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;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відсутність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процедур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реституції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Уряд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України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вжив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заходів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щодо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вирішення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деяких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структурних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проблем,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пов'язаних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із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проблемами </w:t>
      </w:r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HLP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шляхом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запровадження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субсидованих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кредитів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купівлю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/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будівництво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житла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приватизацію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гуртожитків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звільнення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оподаткування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житлової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нежитлової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нерухомості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непідконтрольній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Уряду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території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Проте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існуючі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ініціативи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положення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бюджету на 2018 р.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підривають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зобов'язання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уряду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вирішувати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чи</w:t>
      </w:r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сленні</w:t>
      </w:r>
      <w:proofErr w:type="spellEnd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проблеми</w:t>
      </w:r>
      <w:proofErr w:type="spellEnd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пов'язані</w:t>
      </w:r>
      <w:proofErr w:type="spellEnd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 ВПО</w:t>
      </w:r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з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якими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стикаються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внутрішньо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постражда</w:t>
      </w:r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лі</w:t>
      </w:r>
      <w:proofErr w:type="spellEnd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</w:t>
      </w:r>
      <w:proofErr w:type="spellEnd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конфлікту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жителі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Східної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України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gram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На четвертому</w:t>
      </w:r>
      <w:proofErr w:type="gram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році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конфлікту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прийшов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час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вирішити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питання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виходять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за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межі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негайних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гуманітарних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потреб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вздовж</w:t>
      </w:r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лінії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розмежування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з метою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запобігання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вирішення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проблеми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тривалого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Одним з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позитивних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кроків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цьому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напрямку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нещодавно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бул</w:t>
      </w:r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</w:t>
      </w:r>
      <w:proofErr w:type="spellEnd"/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опубліковано</w:t>
      </w:r>
      <w:proofErr w:type="spellEnd"/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проект "</w:t>
      </w:r>
      <w:proofErr w:type="spellStart"/>
      <w:r w:rsidR="00142829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Стратегії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інтеграції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внутрішньо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осіб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впровадження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довго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строкових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рішень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щодо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внутрішньо</w:t>
      </w:r>
      <w:r w:rsidR="00530E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го</w:t>
      </w:r>
      <w:proofErr w:type="spellEnd"/>
      <w:r w:rsidR="00530E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530E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переміщення</w:t>
      </w:r>
      <w:proofErr w:type="spellEnd"/>
      <w:r w:rsidR="00530E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на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період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до 2020 року",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який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був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розроблений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Міністерством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тимчасово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окупованих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територій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внутрішньо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переміщених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осіб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(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МінТОТ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).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Питання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повинні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бути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важливою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частиною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такої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стратегії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і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громадянське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суспільство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в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даний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час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виступає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за те,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щоб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були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належним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чином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розглянуті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в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документі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В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кінці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ще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одного року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конфлікту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ми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хотіли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взяти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час,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щоб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оцінити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прогрес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досягнутий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в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області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захисту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майнових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прав,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окреслити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пріоритети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на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майбутній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рік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і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обговорити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шляхи </w:t>
      </w:r>
      <w:proofErr w:type="spellStart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просування</w:t>
      </w:r>
      <w:proofErr w:type="spellEnd"/>
      <w:r w:rsidR="00205D1C"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вперед.</w:t>
      </w:r>
      <w:r w:rsidR="00205D1C" w:rsidRPr="00536EDB">
        <w:rPr>
          <w:rFonts w:ascii="Franklin Gothic Book" w:eastAsiaTheme="minorEastAsia" w:hAnsi="Franklin Gothic Book" w:cs="Times New Roman"/>
          <w:b/>
          <w:sz w:val="19"/>
          <w:szCs w:val="19"/>
          <w:lang w:val="ru-RU" w:eastAsia="ru-RU"/>
        </w:rPr>
        <w:t xml:space="preserve"> </w:t>
      </w:r>
    </w:p>
    <w:p w:rsidR="00205D1C" w:rsidRDefault="00205D1C" w:rsidP="00205D1C">
      <w:pPr>
        <w:rPr>
          <w:b/>
          <w:lang w:val="uk-UA"/>
        </w:rPr>
      </w:pPr>
    </w:p>
    <w:p w:rsidR="00205D1C" w:rsidRPr="00A77C1E" w:rsidRDefault="00205D1C" w:rsidP="00205D1C">
      <w:pPr>
        <w:rPr>
          <w:b/>
          <w:lang w:val="uk-UA"/>
        </w:rPr>
      </w:pPr>
      <w:r w:rsidRPr="00A77C1E">
        <w:rPr>
          <w:b/>
          <w:lang w:val="uk-UA"/>
        </w:rPr>
        <w:t>Цілі заходу:</w:t>
      </w:r>
    </w:p>
    <w:p w:rsidR="00205D1C" w:rsidRPr="00142829" w:rsidRDefault="00205D1C" w:rsidP="00205D1C">
      <w:pPr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A77C1E">
        <w:rPr>
          <w:lang w:val="uk-UA"/>
        </w:rPr>
        <w:t xml:space="preserve">•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оцінити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прогрес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вирішенні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проблем у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забезпеченні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майнових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прав,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виявлених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 2015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році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аналізувати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нещодавно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виниклі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проблеми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узгодити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найактуальніші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питання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які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мають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бути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розглянуті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в 2018-20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рр.</w:t>
      </w:r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;</w:t>
      </w:r>
    </w:p>
    <w:p w:rsidR="00205D1C" w:rsidRPr="00536EDB" w:rsidRDefault="00205D1C" w:rsidP="00205D1C">
      <w:pPr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•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забезпечити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платформу для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діалогу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між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зацікавленими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сторонами в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сприятливому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відповідному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середовищі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використанням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нових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технологій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;</w:t>
      </w:r>
    </w:p>
    <w:p w:rsidR="00205D1C" w:rsidRPr="00536EDB" w:rsidRDefault="00205D1C" w:rsidP="00205D1C">
      <w:pPr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lastRenderedPageBreak/>
        <w:t xml:space="preserve">•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підвищити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рівень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поінформованості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громадськості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щодо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нагальних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проблем,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пов'язаних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із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змінами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проблемами,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пов'язаними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переміщеними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занепокоєними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людьми на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Сході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України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 точки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зору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людини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.</w:t>
      </w:r>
    </w:p>
    <w:p w:rsidR="00205D1C" w:rsidRPr="00142829" w:rsidRDefault="00142829" w:rsidP="00205D1C">
      <w:pPr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• провести</w:t>
      </w:r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дискусію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щодо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 як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важливого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компоненту для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досягнення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довгострокових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рішень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для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переміщених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осіб</w:t>
      </w:r>
      <w:proofErr w:type="spellEnd"/>
      <w:r w:rsidR="00205D1C"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.</w:t>
      </w:r>
    </w:p>
    <w:p w:rsidR="00205D1C" w:rsidRPr="00142829" w:rsidRDefault="00205D1C" w:rsidP="00205D1C">
      <w:pPr>
        <w:jc w:val="both"/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6921BB">
        <w:rPr>
          <w:b/>
          <w:lang w:val="uk-UA"/>
        </w:rPr>
        <w:t>Теми, що підлягають обговоренню</w:t>
      </w:r>
      <w:r w:rsidRPr="006921BB">
        <w:rPr>
          <w:lang w:val="uk-UA"/>
        </w:rPr>
        <w:t xml:space="preserve">: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основні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проблеми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майновими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правами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в таких територіальних зонах</w:t>
      </w:r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: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підконтрольна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владі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непідконтрольна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владі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територія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лінія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розмежування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і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можливі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політичні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рішення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виявлених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проблем.</w:t>
      </w:r>
    </w:p>
    <w:p w:rsidR="00205D1C" w:rsidRPr="006921BB" w:rsidRDefault="00205D1C" w:rsidP="00205D1C">
      <w:pPr>
        <w:jc w:val="both"/>
        <w:rPr>
          <w:lang w:val="uk-UA"/>
        </w:rPr>
      </w:pPr>
      <w:r w:rsidRPr="006921BB">
        <w:rPr>
          <w:b/>
          <w:lang w:val="uk-UA"/>
        </w:rPr>
        <w:t>Формат події</w:t>
      </w:r>
      <w:r w:rsidRPr="006921BB">
        <w:rPr>
          <w:lang w:val="uk-UA"/>
        </w:rPr>
        <w:t xml:space="preserve">: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панельна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дискусія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потім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питання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відповіді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Обговорення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транслюватиметься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безпосередньо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через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сторінку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Facebook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NRC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ICLA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Сторінка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Facebook</w:t>
      </w:r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телефонна «Г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аряча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лінія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»</w:t>
      </w:r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буде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використана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для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взаємодії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 широкою </w:t>
      </w:r>
      <w:proofErr w:type="spellStart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аудиторією</w:t>
      </w:r>
      <w:proofErr w:type="spellEnd"/>
      <w:r w:rsidRPr="00142829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Аудиторія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Facebook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буде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заохочена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публікувати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питання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для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ораторів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а модератор буде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збирати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висловлювати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їх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Для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збільшення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аудиторії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партнерам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NRC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буде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запропоновано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надати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підтримку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шляхом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трансляції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події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FB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на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своїх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веб-сайтах /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сторінках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FB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.</w:t>
      </w:r>
    </w:p>
    <w:p w:rsidR="00205D1C" w:rsidRPr="00536EDB" w:rsidRDefault="00205D1C" w:rsidP="00205D1C">
      <w:pPr>
        <w:jc w:val="both"/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6921BB">
        <w:rPr>
          <w:b/>
          <w:lang w:val="uk-UA"/>
        </w:rPr>
        <w:t>Запрошені доповідачі</w:t>
      </w:r>
      <w:r w:rsidRPr="006921BB">
        <w:rPr>
          <w:lang w:val="uk-UA"/>
        </w:rPr>
        <w:t xml:space="preserve">: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представники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вимушених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переселенців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постраждалих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конфліктів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громад,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громадянське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суспільство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гуманітарні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організації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представники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законодавчої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виконавчої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влади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.</w:t>
      </w:r>
    </w:p>
    <w:p w:rsidR="00205D1C" w:rsidRPr="00536EDB" w:rsidRDefault="00205D1C" w:rsidP="00205D1C">
      <w:pPr>
        <w:jc w:val="both"/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6921BB">
        <w:rPr>
          <w:b/>
          <w:bCs/>
          <w:lang w:val="uk-UA"/>
        </w:rPr>
        <w:t xml:space="preserve">Запрошена аудиторія: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представники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вимушених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переселенців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постраждалих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конфліктів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громад,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громадянського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суспільства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гуманітарних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осередків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розвитку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законодавчої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виконавчої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влади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Представники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ЗМІ (для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сесії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запитань та відповідей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).</w:t>
      </w:r>
    </w:p>
    <w:p w:rsidR="00AD7EAD" w:rsidRPr="00536EDB" w:rsidRDefault="00205D1C" w:rsidP="00205D1C">
      <w:pPr>
        <w:jc w:val="both"/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</w:pPr>
      <w:r w:rsidRPr="00277BA5">
        <w:rPr>
          <w:b/>
          <w:bCs/>
          <w:lang w:val="uk-UA"/>
        </w:rPr>
        <w:t xml:space="preserve">Очікуваний результат заходу -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визначити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проблеми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HLP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встановити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пріоритети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які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вимагають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негайної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відповіді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уряду,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донорів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громадянського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суспільства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гуманітарної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спільноти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в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консультаці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ях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з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громадами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, які постраждали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.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Результати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заходу 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будуть повідомлені та враховані при розробці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спільн</w:t>
      </w:r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стратегі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ї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відповід</w:t>
      </w:r>
      <w:proofErr w:type="spellEnd"/>
      <w:r w:rsidR="00142829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і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партнерів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Технічної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Робочої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групи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</w:t>
      </w:r>
      <w:r w:rsidR="0007779C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з питань ж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итл</w:t>
      </w:r>
      <w:proofErr w:type="spellEnd"/>
      <w:r w:rsidR="0007779C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а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,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земл</w:t>
      </w:r>
      <w:proofErr w:type="spellEnd"/>
      <w:r w:rsidR="0007779C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і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та </w:t>
      </w:r>
      <w:r w:rsidR="0007779C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>майна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 (</w:t>
      </w:r>
      <w:r w:rsidRPr="00A971B5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HLP</w:t>
      </w:r>
      <w:r w:rsidR="0007779C">
        <w:rPr>
          <w:rFonts w:ascii="Franklin Gothic Book" w:eastAsiaTheme="minorEastAsia" w:hAnsi="Franklin Gothic Book" w:cs="Times New Roman"/>
          <w:sz w:val="19"/>
          <w:szCs w:val="19"/>
          <w:lang w:val="uk-UA" w:eastAsia="ru-RU"/>
        </w:rPr>
        <w:t xml:space="preserve"> </w:t>
      </w:r>
      <w:r w:rsidR="0007779C">
        <w:rPr>
          <w:rFonts w:ascii="Franklin Gothic Book" w:eastAsiaTheme="minorEastAsia" w:hAnsi="Franklin Gothic Book" w:cs="Times New Roman"/>
          <w:sz w:val="19"/>
          <w:szCs w:val="19"/>
          <w:lang w:eastAsia="ru-RU"/>
        </w:rPr>
        <w:t>TWG</w:t>
      </w:r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 xml:space="preserve">) на 2018 </w:t>
      </w:r>
      <w:proofErr w:type="spellStart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рік</w:t>
      </w:r>
      <w:proofErr w:type="spellEnd"/>
      <w:r w:rsidRPr="00536EDB">
        <w:rPr>
          <w:rFonts w:ascii="Franklin Gothic Book" w:eastAsiaTheme="minorEastAsia" w:hAnsi="Franklin Gothic Book" w:cs="Times New Roman"/>
          <w:sz w:val="19"/>
          <w:szCs w:val="19"/>
          <w:lang w:val="ru-RU" w:eastAsia="ru-RU"/>
        </w:rPr>
        <w:t>.</w:t>
      </w:r>
    </w:p>
    <w:p w:rsidR="00AD7EAD" w:rsidRPr="00A02C1E" w:rsidRDefault="00AD7EAD" w:rsidP="00AD7EAD">
      <w:pPr>
        <w:rPr>
          <w:lang w:val="uk-UA"/>
        </w:rPr>
      </w:pPr>
      <w:r w:rsidRPr="00A02C1E">
        <w:rPr>
          <w:b/>
          <w:bCs/>
          <w:lang w:val="uk-UA"/>
        </w:rPr>
        <w:t> </w:t>
      </w:r>
    </w:p>
    <w:p w:rsidR="00205D1C" w:rsidRPr="00205D1C" w:rsidRDefault="00205D1C" w:rsidP="00205D1C">
      <w:pPr>
        <w:rPr>
          <w:lang w:val="uk-UA"/>
        </w:rPr>
      </w:pPr>
      <w:r w:rsidRPr="00205D1C">
        <w:rPr>
          <w:b/>
          <w:bCs/>
          <w:lang w:val="uk-UA"/>
        </w:rPr>
        <w:t>Попередній порядок денний</w:t>
      </w:r>
      <w:r w:rsidRPr="00205D1C">
        <w:rPr>
          <w:lang w:val="uk-UA"/>
        </w:rPr>
        <w:t> </w:t>
      </w:r>
      <w:r w:rsidRPr="00205D1C">
        <w:rPr>
          <w:b/>
          <w:bCs/>
          <w:lang w:val="uk-UA"/>
        </w:rPr>
        <w:t>(</w:t>
      </w:r>
      <w:r w:rsidRPr="00205D1C">
        <w:rPr>
          <w:b/>
          <w:bCs/>
        </w:rPr>
        <w:t>28</w:t>
      </w:r>
      <w:r w:rsidRPr="00205D1C">
        <w:rPr>
          <w:b/>
          <w:bCs/>
          <w:lang w:val="uk-UA"/>
        </w:rPr>
        <w:t>.11.2017 12:30-15:05):</w:t>
      </w:r>
    </w:p>
    <w:tbl>
      <w:tblPr>
        <w:tblW w:w="973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5387"/>
        <w:gridCol w:w="3260"/>
      </w:tblGrid>
      <w:tr w:rsidR="00205D1C" w:rsidRPr="00205D1C" w:rsidTr="0007779C">
        <w:trPr>
          <w:trHeight w:val="538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t>Час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t>Тема обговорення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t>Спікер</w:t>
            </w:r>
          </w:p>
        </w:tc>
      </w:tr>
      <w:tr w:rsidR="00205D1C" w:rsidRPr="00536EDB" w:rsidTr="0007779C">
        <w:trPr>
          <w:trHeight w:val="538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t>0: </w:t>
            </w:r>
            <w:r w:rsidRPr="00205D1C">
              <w:t>10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t>0:05</w:t>
            </w:r>
          </w:p>
          <w:p w:rsidR="00205D1C" w:rsidRDefault="00205D1C" w:rsidP="00205D1C">
            <w:pPr>
              <w:jc w:val="center"/>
              <w:rPr>
                <w:lang w:val="uk-UA"/>
              </w:rPr>
            </w:pPr>
          </w:p>
          <w:p w:rsidR="00DC2FA6" w:rsidRPr="00205D1C" w:rsidRDefault="00DC2FA6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lastRenderedPageBreak/>
              <w:t>0:1</w:t>
            </w:r>
            <w:r w:rsidR="00DC2FA6">
              <w:rPr>
                <w:lang w:val="uk-UA"/>
              </w:rPr>
              <w:t>5</w:t>
            </w:r>
          </w:p>
          <w:p w:rsidR="00205D1C" w:rsidRDefault="00205D1C" w:rsidP="00205D1C">
            <w:pPr>
              <w:jc w:val="center"/>
              <w:rPr>
                <w:lang w:val="uk-UA"/>
              </w:rPr>
            </w:pPr>
          </w:p>
          <w:p w:rsidR="007B6290" w:rsidRPr="00205D1C" w:rsidRDefault="007B6290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07779C" w:rsidP="00205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5D1C" w:rsidRPr="00205D1C">
              <w:rPr>
                <w:lang w:val="uk-UA"/>
              </w:rPr>
              <w:t>: </w:t>
            </w:r>
            <w:r>
              <w:rPr>
                <w:lang w:val="uk-UA"/>
              </w:rPr>
              <w:t>05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982AAA" w:rsidRDefault="00982AAA" w:rsidP="00205D1C">
            <w:pPr>
              <w:jc w:val="center"/>
              <w:rPr>
                <w:lang w:val="uk-UA"/>
              </w:rPr>
            </w:pPr>
          </w:p>
          <w:p w:rsidR="00205D1C" w:rsidRPr="00982AAA" w:rsidRDefault="00205D1C" w:rsidP="00205D1C">
            <w:pPr>
              <w:jc w:val="center"/>
            </w:pPr>
            <w:r w:rsidRPr="00205D1C">
              <w:rPr>
                <w:lang w:val="uk-UA"/>
              </w:rPr>
              <w:t>0:</w:t>
            </w:r>
            <w:r w:rsidR="00982AAA">
              <w:t>20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Default="00205D1C" w:rsidP="00205D1C">
            <w:pPr>
              <w:tabs>
                <w:tab w:val="center" w:pos="641"/>
              </w:tabs>
              <w:jc w:val="center"/>
              <w:rPr>
                <w:lang w:val="uk-UA"/>
              </w:rPr>
            </w:pPr>
          </w:p>
          <w:p w:rsidR="00205D1C" w:rsidRPr="00807800" w:rsidRDefault="00205D1C" w:rsidP="00205D1C">
            <w:pPr>
              <w:jc w:val="center"/>
            </w:pPr>
            <w:r w:rsidRPr="00205D1C">
              <w:rPr>
                <w:lang w:val="uk-UA"/>
              </w:rPr>
              <w:t>0: </w:t>
            </w:r>
            <w:r w:rsidR="00807800">
              <w:t>20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Default="00205D1C" w:rsidP="00205D1C">
            <w:pPr>
              <w:jc w:val="center"/>
              <w:rPr>
                <w:lang w:val="uk-UA"/>
              </w:rPr>
            </w:pPr>
          </w:p>
          <w:p w:rsidR="00B3230A" w:rsidRDefault="00B3230A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Default="00982AAA" w:rsidP="00205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0:20</w:t>
            </w:r>
          </w:p>
          <w:p w:rsidR="00982AAA" w:rsidRPr="00205D1C" w:rsidRDefault="00982AAA" w:rsidP="00205D1C">
            <w:pPr>
              <w:jc w:val="center"/>
              <w:rPr>
                <w:lang w:val="uk-UA"/>
              </w:rPr>
            </w:pPr>
          </w:p>
          <w:p w:rsidR="00205D1C" w:rsidRDefault="00205D1C" w:rsidP="00205D1C">
            <w:pPr>
              <w:jc w:val="center"/>
              <w:rPr>
                <w:lang w:val="uk-UA"/>
              </w:rPr>
            </w:pPr>
          </w:p>
          <w:p w:rsidR="00982AAA" w:rsidRDefault="00982AAA" w:rsidP="00205D1C">
            <w:pPr>
              <w:jc w:val="center"/>
              <w:rPr>
                <w:lang w:val="uk-UA"/>
              </w:rPr>
            </w:pPr>
          </w:p>
          <w:p w:rsidR="00982AAA" w:rsidRDefault="00982AAA" w:rsidP="00205D1C">
            <w:pPr>
              <w:jc w:val="center"/>
              <w:rPr>
                <w:lang w:val="uk-UA"/>
              </w:rPr>
            </w:pPr>
          </w:p>
          <w:p w:rsidR="00B3230A" w:rsidRDefault="00B3230A" w:rsidP="00B3230A">
            <w:pPr>
              <w:rPr>
                <w:lang w:val="uk-UA"/>
              </w:rPr>
            </w:pPr>
          </w:p>
          <w:p w:rsidR="00B3230A" w:rsidRDefault="00B3230A" w:rsidP="00B32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0:25</w:t>
            </w:r>
          </w:p>
          <w:p w:rsidR="00B3230A" w:rsidRDefault="00B3230A" w:rsidP="00B3230A">
            <w:pPr>
              <w:jc w:val="center"/>
              <w:rPr>
                <w:lang w:val="uk-UA"/>
              </w:rPr>
            </w:pPr>
          </w:p>
          <w:p w:rsidR="00B3230A" w:rsidRDefault="00B3230A" w:rsidP="00B32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0:05</w:t>
            </w:r>
          </w:p>
          <w:p w:rsidR="00B3230A" w:rsidRDefault="00B3230A" w:rsidP="00B3230A">
            <w:pPr>
              <w:jc w:val="center"/>
              <w:rPr>
                <w:lang w:val="uk-UA"/>
              </w:rPr>
            </w:pPr>
          </w:p>
          <w:p w:rsidR="00B3230A" w:rsidRPr="00205D1C" w:rsidRDefault="00B3230A" w:rsidP="00B32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0:30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lastRenderedPageBreak/>
              <w:t>Відкриття</w:t>
            </w:r>
            <w:r w:rsidRPr="00205D1C">
              <w:rPr>
                <w:lang w:val="uk-UA"/>
              </w:rPr>
              <w:t> </w:t>
            </w:r>
            <w:r w:rsidRPr="00205D1C">
              <w:rPr>
                <w:b/>
                <w:bCs/>
                <w:lang w:val="uk-UA"/>
              </w:rPr>
              <w:t>та</w:t>
            </w:r>
            <w:r w:rsidRPr="00205D1C">
              <w:rPr>
                <w:lang w:val="uk-UA"/>
              </w:rPr>
              <w:t> </w:t>
            </w:r>
            <w:r w:rsidRPr="00205D1C">
              <w:rPr>
                <w:b/>
                <w:bCs/>
                <w:lang w:val="uk-UA"/>
              </w:rPr>
              <w:t>привітання (</w:t>
            </w:r>
            <w:r w:rsidR="0007779C">
              <w:rPr>
                <w:b/>
                <w:bCs/>
                <w:lang w:val="uk-UA"/>
              </w:rPr>
              <w:t>З</w:t>
            </w:r>
            <w:r w:rsidRPr="00205D1C">
              <w:rPr>
                <w:b/>
                <w:bCs/>
                <w:lang w:val="uk-UA"/>
              </w:rPr>
              <w:t>віт NRC</w:t>
            </w:r>
            <w:r w:rsidR="007B6290">
              <w:rPr>
                <w:b/>
                <w:bCs/>
                <w:lang w:val="uk-UA"/>
              </w:rPr>
              <w:t xml:space="preserve"> з житлових, земельних та майнових прав</w:t>
            </w:r>
            <w:r>
              <w:rPr>
                <w:b/>
                <w:bCs/>
                <w:lang w:val="uk-UA"/>
              </w:rPr>
              <w:t xml:space="preserve">: </w:t>
            </w:r>
            <w:r w:rsidRPr="00205D1C">
              <w:rPr>
                <w:b/>
                <w:bCs/>
                <w:lang w:val="uk-UA"/>
              </w:rPr>
              <w:t>2 роки потому)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t>Демонстрація відео-ролику телевізійного каналу Громадське ТБ "Реалії Жованки"</w:t>
            </w:r>
          </w:p>
          <w:p w:rsidR="00205D1C" w:rsidRPr="00205D1C" w:rsidRDefault="00205D1C" w:rsidP="00205D1C">
            <w:pPr>
              <w:jc w:val="center"/>
              <w:rPr>
                <w:b/>
                <w:bCs/>
                <w:lang w:val="uk-UA"/>
              </w:rPr>
            </w:pPr>
          </w:p>
          <w:p w:rsidR="00DC2FA6" w:rsidRDefault="00205D1C" w:rsidP="00205D1C">
            <w:pPr>
              <w:jc w:val="center"/>
              <w:rPr>
                <w:b/>
                <w:bCs/>
                <w:lang w:val="uk-UA"/>
              </w:rPr>
            </w:pPr>
            <w:r w:rsidRPr="00205D1C">
              <w:rPr>
                <w:b/>
                <w:bCs/>
                <w:lang w:val="uk-UA"/>
              </w:rPr>
              <w:t>Презентація питань HLP вздовж лінії розмежування (</w:t>
            </w:r>
            <w:r w:rsidR="00BC47CB">
              <w:rPr>
                <w:b/>
                <w:bCs/>
                <w:lang w:val="uk-UA"/>
              </w:rPr>
              <w:t>В</w:t>
            </w:r>
            <w:r w:rsidRPr="00205D1C">
              <w:rPr>
                <w:b/>
                <w:bCs/>
                <w:lang w:val="uk-UA"/>
              </w:rPr>
              <w:t xml:space="preserve">икористання </w:t>
            </w:r>
            <w:r w:rsidR="00BC47CB">
              <w:rPr>
                <w:b/>
                <w:bCs/>
                <w:lang w:val="uk-UA"/>
              </w:rPr>
              <w:t>майна цивільних військовими</w:t>
            </w:r>
            <w:r w:rsidRPr="00205D1C">
              <w:rPr>
                <w:b/>
                <w:bCs/>
                <w:lang w:val="uk-UA"/>
              </w:rPr>
              <w:t xml:space="preserve">. </w:t>
            </w:r>
            <w:r w:rsidRPr="00205D1C">
              <w:rPr>
                <w:b/>
                <w:bCs/>
                <w:lang w:val="uk-UA"/>
              </w:rPr>
              <w:lastRenderedPageBreak/>
              <w:t xml:space="preserve">Невибіркові обстріли цивільної власності та інфраструктури, мінування сільськогосподарських угідь та сіл). </w:t>
            </w:r>
          </w:p>
          <w:p w:rsidR="00205D1C" w:rsidRPr="0007779C" w:rsidRDefault="0007779C" w:rsidP="00205D1C">
            <w:pPr>
              <w:jc w:val="center"/>
              <w:rPr>
                <w:b/>
                <w:lang w:val="uk-UA"/>
              </w:rPr>
            </w:pPr>
            <w:r w:rsidRPr="0007779C">
              <w:rPr>
                <w:b/>
                <w:lang w:val="uk-UA"/>
              </w:rPr>
              <w:t>Вступне відео: «</w:t>
            </w:r>
            <w:proofErr w:type="spellStart"/>
            <w:r w:rsidRPr="0007779C">
              <w:rPr>
                <w:b/>
                <w:lang w:val="uk-UA"/>
              </w:rPr>
              <w:t>Кочетов</w:t>
            </w:r>
            <w:proofErr w:type="spellEnd"/>
            <w:r w:rsidRPr="0007779C">
              <w:rPr>
                <w:b/>
                <w:lang w:val="uk-UA"/>
              </w:rPr>
              <w:t xml:space="preserve"> із Станиці Луганської»</w:t>
            </w:r>
          </w:p>
          <w:p w:rsidR="00205D1C" w:rsidRPr="0007779C" w:rsidRDefault="00205D1C" w:rsidP="00205D1C">
            <w:pPr>
              <w:jc w:val="center"/>
              <w:rPr>
                <w:b/>
                <w:bCs/>
                <w:lang w:val="uk-UA"/>
              </w:rPr>
            </w:pPr>
          </w:p>
          <w:p w:rsidR="0007779C" w:rsidRPr="00807800" w:rsidRDefault="00DA32CD" w:rsidP="00205D1C">
            <w:pPr>
              <w:jc w:val="center"/>
              <w:rPr>
                <w:b/>
                <w:lang w:val="uk-UA"/>
              </w:rPr>
            </w:pPr>
            <w:r w:rsidRPr="00807800">
              <w:rPr>
                <w:b/>
                <w:lang w:val="uk-UA"/>
              </w:rPr>
              <w:t xml:space="preserve">Представлення </w:t>
            </w:r>
            <w:r w:rsidRPr="00807800">
              <w:rPr>
                <w:b/>
              </w:rPr>
              <w:t>HLP</w:t>
            </w:r>
            <w:r w:rsidRPr="00807800">
              <w:rPr>
                <w:b/>
                <w:lang w:val="uk-UA"/>
              </w:rPr>
              <w:t xml:space="preserve"> питань на підконтрольній Уряду території України (Відсутність реституції/компенсації; Відсутність достатнього тимчасового</w:t>
            </w:r>
            <w:r w:rsidR="00807800" w:rsidRPr="00807800">
              <w:rPr>
                <w:b/>
                <w:lang w:val="uk-UA"/>
              </w:rPr>
              <w:t xml:space="preserve"> та постійного житла; Обмежений доступ до гуманітарної допомоги через відсутність документів; Забезпечення права проживання – оренда, комунальні послуги та житлові субсидії</w:t>
            </w:r>
            <w:r w:rsidRPr="00807800">
              <w:rPr>
                <w:b/>
                <w:lang w:val="uk-UA"/>
              </w:rPr>
              <w:t>)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807800" w:rsidP="00205D1C">
            <w:pPr>
              <w:jc w:val="center"/>
              <w:rPr>
                <w:lang w:val="uk-UA"/>
              </w:rPr>
            </w:pPr>
            <w:r w:rsidRPr="00807800">
              <w:rPr>
                <w:b/>
                <w:lang w:val="uk-UA"/>
              </w:rPr>
              <w:t xml:space="preserve">Представлення </w:t>
            </w:r>
            <w:r w:rsidRPr="00807800">
              <w:rPr>
                <w:b/>
              </w:rPr>
              <w:t>HLP</w:t>
            </w:r>
            <w:r w:rsidRPr="00807800">
              <w:rPr>
                <w:b/>
                <w:lang w:val="uk-UA"/>
              </w:rPr>
              <w:t xml:space="preserve"> питань на </w:t>
            </w:r>
            <w:r>
              <w:rPr>
                <w:b/>
                <w:lang w:val="uk-UA"/>
              </w:rPr>
              <w:t>не</w:t>
            </w:r>
            <w:r w:rsidRPr="00807800">
              <w:rPr>
                <w:b/>
                <w:lang w:val="uk-UA"/>
              </w:rPr>
              <w:t xml:space="preserve">підконтрольній Уряду території України </w:t>
            </w:r>
            <w:r>
              <w:rPr>
                <w:b/>
                <w:lang w:val="uk-UA"/>
              </w:rPr>
              <w:t xml:space="preserve">(Доступ до українських юридичних послуг на непідконтрольній території; </w:t>
            </w:r>
            <w:r w:rsidR="00982AAA">
              <w:rPr>
                <w:b/>
                <w:lang w:val="uk-UA"/>
              </w:rPr>
              <w:t>Невизнання документів, питання щодо спадкування та реєстрації купівлі-продажу майна, іпотечне кредитування</w:t>
            </w:r>
            <w:r>
              <w:rPr>
                <w:b/>
                <w:lang w:val="uk-UA"/>
              </w:rPr>
              <w:t>)</w:t>
            </w:r>
          </w:p>
          <w:p w:rsidR="00205D1C" w:rsidRPr="00205D1C" w:rsidRDefault="00205D1C" w:rsidP="00205D1C">
            <w:pPr>
              <w:jc w:val="center"/>
              <w:rPr>
                <w:b/>
                <w:bCs/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b/>
                <w:bCs/>
                <w:lang w:val="uk-UA"/>
              </w:rPr>
            </w:pPr>
            <w:r w:rsidRPr="00205D1C">
              <w:rPr>
                <w:b/>
                <w:bCs/>
                <w:lang w:val="uk-UA"/>
              </w:rPr>
              <w:t xml:space="preserve">Законодавчі спроби </w:t>
            </w:r>
            <w:r w:rsidR="00982AAA">
              <w:rPr>
                <w:b/>
                <w:bCs/>
                <w:lang w:val="uk-UA"/>
              </w:rPr>
              <w:t>у</w:t>
            </w:r>
            <w:r w:rsidRPr="00205D1C">
              <w:rPr>
                <w:b/>
                <w:bCs/>
                <w:lang w:val="uk-UA"/>
              </w:rPr>
              <w:t xml:space="preserve"> сфері захисту житлових, земельних та майнових прав</w:t>
            </w:r>
            <w:r w:rsidR="00982AAA">
              <w:rPr>
                <w:b/>
                <w:bCs/>
                <w:lang w:val="uk-UA"/>
              </w:rPr>
              <w:t xml:space="preserve"> (Адресна допомога на оренду житла та оплату комунальних послуг, пільгове кредитування, звільнення від оподаткування, бюджет на 2018 рік; Нотаріальні послуги щодо майна, розташованого на непідконтрольній території; Поточні та очікувані законодавчі рішення)</w:t>
            </w:r>
          </w:p>
          <w:p w:rsidR="007B6290" w:rsidRDefault="007B6290" w:rsidP="00205D1C">
            <w:pPr>
              <w:jc w:val="center"/>
              <w:rPr>
                <w:b/>
                <w:bCs/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b/>
                <w:bCs/>
                <w:lang w:val="uk-UA"/>
              </w:rPr>
            </w:pPr>
            <w:r w:rsidRPr="00205D1C">
              <w:rPr>
                <w:b/>
                <w:bCs/>
                <w:lang w:val="uk-UA"/>
              </w:rPr>
              <w:lastRenderedPageBreak/>
              <w:t>Сесія запитань та відповідей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t>Висновки та оголошення про наступні кроки</w:t>
            </w:r>
          </w:p>
          <w:p w:rsidR="00205D1C" w:rsidRDefault="00205D1C" w:rsidP="00205D1C">
            <w:pPr>
              <w:jc w:val="center"/>
              <w:rPr>
                <w:b/>
                <w:bCs/>
                <w:lang w:val="uk-UA"/>
              </w:rPr>
            </w:pPr>
          </w:p>
          <w:p w:rsidR="00B3230A" w:rsidRPr="00205D1C" w:rsidRDefault="00B3230A" w:rsidP="00205D1C">
            <w:pPr>
              <w:jc w:val="center"/>
              <w:rPr>
                <w:b/>
                <w:bCs/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b/>
                <w:bCs/>
                <w:lang w:val="uk-UA"/>
              </w:rPr>
              <w:t>Прощальна</w:t>
            </w:r>
            <w:r w:rsidRPr="00205D1C">
              <w:rPr>
                <w:lang w:val="uk-UA"/>
              </w:rPr>
              <w:t> </w:t>
            </w:r>
            <w:r w:rsidRPr="00205D1C">
              <w:rPr>
                <w:b/>
                <w:bCs/>
                <w:lang w:val="uk-UA"/>
              </w:rPr>
              <w:t>кава / чай</w:t>
            </w:r>
            <w:r w:rsidRPr="00205D1C">
              <w:rPr>
                <w:lang w:val="uk-UA"/>
              </w:rPr>
              <w:t> </w:t>
            </w:r>
            <w:r w:rsidRPr="00205D1C">
              <w:rPr>
                <w:b/>
                <w:bCs/>
                <w:lang w:val="uk-UA"/>
              </w:rPr>
              <w:t>і спілкування з журналістами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07779C" w:rsidRDefault="00205D1C" w:rsidP="00205D1C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</w:pPr>
            <w:r w:rsidRPr="0007779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lastRenderedPageBreak/>
              <w:t>Норвезька рада у справах біженців (NRC)</w:t>
            </w:r>
            <w:r w:rsidR="007B6290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 </w:t>
            </w:r>
            <w:r w:rsidRPr="0007779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Олена </w:t>
            </w:r>
            <w:proofErr w:type="spellStart"/>
            <w:r w:rsidRPr="0007779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>Луканюк</w:t>
            </w:r>
            <w:proofErr w:type="spellEnd"/>
          </w:p>
          <w:p w:rsidR="00205D1C" w:rsidRPr="00205D1C" w:rsidRDefault="00205D1C" w:rsidP="00205D1C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</w:pPr>
          </w:p>
          <w:p w:rsidR="00205D1C" w:rsidRPr="0007779C" w:rsidRDefault="00205D1C" w:rsidP="00205D1C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</w:pPr>
          </w:p>
          <w:p w:rsidR="0007779C" w:rsidRPr="0007779C" w:rsidRDefault="0007779C" w:rsidP="00205D1C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</w:pPr>
          </w:p>
          <w:p w:rsidR="0007779C" w:rsidRDefault="0007779C" w:rsidP="00205D1C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</w:pPr>
          </w:p>
          <w:p w:rsidR="00DC2FA6" w:rsidRPr="0007779C" w:rsidRDefault="00DC2FA6" w:rsidP="00205D1C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</w:pPr>
            <w:r w:rsidRPr="0007779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lastRenderedPageBreak/>
              <w:t>Представниця Жованки Людмила Пахомова (5’)</w:t>
            </w:r>
          </w:p>
          <w:p w:rsidR="00205D1C" w:rsidRPr="00205D1C" w:rsidRDefault="0007779C" w:rsidP="00205D1C">
            <w:pPr>
              <w:jc w:val="center"/>
              <w:rPr>
                <w:lang w:val="uk-UA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Моніторингова місія ООН з прав людини - </w:t>
            </w:r>
            <w:r w:rsidR="00205D1C" w:rsidRPr="00205D1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Галина </w:t>
            </w:r>
            <w:proofErr w:type="spellStart"/>
            <w:r w:rsidR="00205D1C" w:rsidRPr="00205D1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>Бочева</w:t>
            </w:r>
            <w:proofErr w:type="spellEnd"/>
            <w:r w:rsidR="00DC2FA6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 (10’)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982AAA" w:rsidRDefault="00982AAA" w:rsidP="00982AAA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t>NRC</w:t>
            </w:r>
            <w:r>
              <w:rPr>
                <w:lang w:val="uk-UA"/>
              </w:rPr>
              <w:t xml:space="preserve"> – Володимир </w:t>
            </w:r>
            <w:proofErr w:type="spellStart"/>
            <w:r>
              <w:rPr>
                <w:lang w:val="uk-UA"/>
              </w:rPr>
              <w:t>Хорбаладзе</w:t>
            </w:r>
            <w:proofErr w:type="spellEnd"/>
            <w:r>
              <w:rPr>
                <w:lang w:val="uk-UA"/>
              </w:rPr>
              <w:t xml:space="preserve"> (10’)</w:t>
            </w:r>
          </w:p>
          <w:p w:rsidR="00982AAA" w:rsidRDefault="00982AAA" w:rsidP="00982AAA">
            <w:pPr>
              <w:jc w:val="center"/>
              <w:rPr>
                <w:lang w:val="uk-UA"/>
              </w:rPr>
            </w:pPr>
            <w:r>
              <w:t>DRC</w:t>
            </w:r>
            <w:r w:rsidRPr="00982AAA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Ольга Кирилюк </w:t>
            </w:r>
          </w:p>
          <w:p w:rsidR="00982AAA" w:rsidRPr="00982AAA" w:rsidRDefault="00982AAA" w:rsidP="00982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t>Skype</w:t>
            </w:r>
            <w:r w:rsidRPr="00982AAA">
              <w:rPr>
                <w:lang w:val="uk-UA"/>
              </w:rPr>
              <w:t xml:space="preserve"> 10’</w:t>
            </w:r>
            <w:r>
              <w:rPr>
                <w:lang w:val="uk-UA"/>
              </w:rPr>
              <w:t>)</w:t>
            </w:r>
          </w:p>
          <w:p w:rsidR="00982AAA" w:rsidRPr="00982AAA" w:rsidRDefault="00982AAA" w:rsidP="00982AAA">
            <w:pPr>
              <w:jc w:val="center"/>
              <w:rPr>
                <w:lang w:val="uk-UA"/>
              </w:rPr>
            </w:pPr>
          </w:p>
          <w:p w:rsidR="00982AAA" w:rsidRDefault="00982AAA" w:rsidP="0007779C">
            <w:pPr>
              <w:jc w:val="center"/>
              <w:rPr>
                <w:lang w:val="uk-UA"/>
              </w:rPr>
            </w:pPr>
          </w:p>
          <w:p w:rsidR="00982AAA" w:rsidRDefault="00982AAA" w:rsidP="00077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УВКБ ООН</w:t>
            </w:r>
            <w:r w:rsidRPr="00982AAA">
              <w:rPr>
                <w:lang w:val="uk-UA"/>
              </w:rPr>
              <w:t xml:space="preserve"> – (</w:t>
            </w:r>
            <w:r>
              <w:rPr>
                <w:lang w:val="uk-UA"/>
              </w:rPr>
              <w:t>підлягає підтвердженню</w:t>
            </w:r>
            <w:r w:rsidRPr="00982AAA">
              <w:rPr>
                <w:lang w:val="uk-UA"/>
              </w:rPr>
              <w:t>)</w:t>
            </w:r>
            <w:r>
              <w:rPr>
                <w:lang w:val="uk-UA"/>
              </w:rPr>
              <w:t xml:space="preserve"> та/або</w:t>
            </w:r>
          </w:p>
          <w:p w:rsidR="00982AAA" w:rsidRPr="00205D1C" w:rsidRDefault="00982AAA" w:rsidP="00982AAA">
            <w:pPr>
              <w:jc w:val="center"/>
              <w:rPr>
                <w:lang w:val="uk-UA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Моніторингова місія ООН з прав людини - </w:t>
            </w:r>
            <w:r w:rsidRPr="00205D1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Галина </w:t>
            </w:r>
            <w:proofErr w:type="spellStart"/>
            <w:r w:rsidRPr="00205D1C"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>Бочева</w:t>
            </w:r>
            <w:proofErr w:type="spellEnd"/>
            <w:r>
              <w:rPr>
                <w:rFonts w:ascii="Franklin Gothic Book" w:hAnsi="Franklin Gothic Book" w:cstheme="minorHAnsi"/>
                <w:sz w:val="20"/>
                <w:szCs w:val="20"/>
                <w:lang w:val="uk-UA"/>
              </w:rPr>
              <w:t xml:space="preserve"> </w:t>
            </w:r>
          </w:p>
          <w:p w:rsidR="00982AAA" w:rsidRDefault="00982AAA" w:rsidP="0007779C">
            <w:pPr>
              <w:jc w:val="center"/>
              <w:rPr>
                <w:lang w:val="uk-UA"/>
              </w:rPr>
            </w:pPr>
          </w:p>
          <w:p w:rsidR="00B3230A" w:rsidRDefault="00B3230A" w:rsidP="00982AAA">
            <w:pPr>
              <w:rPr>
                <w:lang w:val="uk-UA"/>
              </w:rPr>
            </w:pPr>
          </w:p>
          <w:p w:rsidR="00982AAA" w:rsidRPr="00B3230A" w:rsidRDefault="00B3230A" w:rsidP="00982AAA">
            <w:pPr>
              <w:rPr>
                <w:lang w:val="uk-UA"/>
              </w:rPr>
            </w:pPr>
            <w:r>
              <w:rPr>
                <w:lang w:val="uk-UA"/>
              </w:rPr>
              <w:t>МТОТ –Алла Назаренко (</w:t>
            </w:r>
            <w:r w:rsidR="009A4DC7">
              <w:rPr>
                <w:lang w:val="uk-UA"/>
              </w:rPr>
              <w:t xml:space="preserve">підлягає підтвердженню </w:t>
            </w:r>
            <w:r>
              <w:rPr>
                <w:lang w:val="uk-UA"/>
              </w:rPr>
              <w:t>10’)</w:t>
            </w:r>
          </w:p>
          <w:p w:rsidR="00982AAA" w:rsidRPr="00205D1C" w:rsidRDefault="00982AAA" w:rsidP="00982AAA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t xml:space="preserve">Керівник Донецького обласного Департаменту юстиції </w:t>
            </w:r>
            <w:proofErr w:type="spellStart"/>
            <w:r w:rsidRPr="00205D1C">
              <w:rPr>
                <w:lang w:val="uk-UA"/>
              </w:rPr>
              <w:t>Люцина</w:t>
            </w:r>
            <w:proofErr w:type="spellEnd"/>
            <w:r w:rsidRPr="00205D1C">
              <w:rPr>
                <w:lang w:val="uk-UA"/>
              </w:rPr>
              <w:t> </w:t>
            </w:r>
            <w:proofErr w:type="spellStart"/>
            <w:r w:rsidRPr="00205D1C">
              <w:rPr>
                <w:lang w:val="uk-UA"/>
              </w:rPr>
              <w:t>Гудзенко</w:t>
            </w:r>
            <w:proofErr w:type="spellEnd"/>
            <w:r w:rsidR="00B3230A">
              <w:rPr>
                <w:lang w:val="uk-UA"/>
              </w:rPr>
              <w:t xml:space="preserve"> (5’)</w:t>
            </w:r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t xml:space="preserve">Народний депутат Наталія </w:t>
            </w:r>
            <w:proofErr w:type="spellStart"/>
            <w:r w:rsidRPr="00205D1C">
              <w:rPr>
                <w:lang w:val="uk-UA"/>
              </w:rPr>
              <w:t>Веселова</w:t>
            </w:r>
            <w:proofErr w:type="spellEnd"/>
            <w:r w:rsidR="00B3230A">
              <w:rPr>
                <w:lang w:val="uk-UA"/>
              </w:rPr>
              <w:t xml:space="preserve"> (5’)</w:t>
            </w:r>
          </w:p>
          <w:p w:rsidR="00205D1C" w:rsidRDefault="00205D1C" w:rsidP="00205D1C">
            <w:pPr>
              <w:jc w:val="center"/>
              <w:rPr>
                <w:lang w:val="uk-UA"/>
              </w:rPr>
            </w:pPr>
          </w:p>
          <w:p w:rsidR="007B6290" w:rsidRPr="00205D1C" w:rsidRDefault="007B6290" w:rsidP="00205D1C">
            <w:pPr>
              <w:jc w:val="center"/>
              <w:rPr>
                <w:lang w:val="uk-UA"/>
              </w:rPr>
            </w:pPr>
          </w:p>
          <w:p w:rsidR="007B6290" w:rsidRDefault="007B6290" w:rsidP="00205D1C">
            <w:pPr>
              <w:jc w:val="center"/>
              <w:rPr>
                <w:lang w:val="uk-UA"/>
              </w:rPr>
            </w:pPr>
          </w:p>
          <w:p w:rsidR="00205D1C" w:rsidRPr="00205D1C" w:rsidRDefault="00205D1C" w:rsidP="00205D1C">
            <w:pPr>
              <w:jc w:val="center"/>
              <w:rPr>
                <w:lang w:val="ru-RU"/>
              </w:rPr>
            </w:pPr>
            <w:r w:rsidRPr="00205D1C">
              <w:rPr>
                <w:lang w:val="uk-UA"/>
              </w:rPr>
              <w:t>Модератор</w:t>
            </w:r>
            <w:r w:rsidR="00B3230A">
              <w:rPr>
                <w:lang w:val="uk-UA"/>
              </w:rPr>
              <w:t xml:space="preserve"> від</w:t>
            </w:r>
            <w:r w:rsidRPr="00205D1C">
              <w:rPr>
                <w:lang w:val="uk-UA"/>
              </w:rPr>
              <w:t xml:space="preserve"> </w:t>
            </w:r>
            <w:r w:rsidRPr="00205D1C">
              <w:t>NRC</w:t>
            </w:r>
          </w:p>
          <w:p w:rsidR="00205D1C" w:rsidRDefault="00205D1C" w:rsidP="00205D1C">
            <w:pPr>
              <w:jc w:val="center"/>
              <w:rPr>
                <w:lang w:val="uk-UA"/>
              </w:rPr>
            </w:pPr>
          </w:p>
          <w:p w:rsidR="00B3230A" w:rsidRPr="00B3230A" w:rsidRDefault="00B3230A" w:rsidP="00205D1C">
            <w:pPr>
              <w:jc w:val="center"/>
              <w:rPr>
                <w:lang w:val="uk-UA"/>
              </w:rPr>
            </w:pPr>
            <w:r w:rsidRPr="00205D1C">
              <w:t>NRC</w:t>
            </w:r>
            <w:r>
              <w:rPr>
                <w:lang w:val="uk-UA"/>
              </w:rPr>
              <w:t xml:space="preserve"> – Олена </w:t>
            </w:r>
            <w:proofErr w:type="spellStart"/>
            <w:r>
              <w:rPr>
                <w:lang w:val="uk-UA"/>
              </w:rPr>
              <w:t>Луканюк</w:t>
            </w:r>
            <w:proofErr w:type="spellEnd"/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  <w:p w:rsidR="00205D1C" w:rsidRPr="00B3230A" w:rsidRDefault="00205D1C" w:rsidP="00205D1C">
            <w:pPr>
              <w:jc w:val="center"/>
              <w:rPr>
                <w:lang w:val="uk-UA"/>
              </w:rPr>
            </w:pPr>
            <w:r w:rsidRPr="00205D1C">
              <w:rPr>
                <w:lang w:val="uk-UA"/>
              </w:rPr>
              <w:t xml:space="preserve">Модератор: координатор з комунікацій </w:t>
            </w:r>
            <w:r w:rsidRPr="00205D1C">
              <w:t>NRC</w:t>
            </w:r>
            <w:r w:rsidR="00B3230A">
              <w:rPr>
                <w:lang w:val="uk-UA"/>
              </w:rPr>
              <w:t xml:space="preserve"> – Тетяна </w:t>
            </w:r>
            <w:proofErr w:type="spellStart"/>
            <w:r w:rsidR="00B3230A">
              <w:rPr>
                <w:lang w:val="uk-UA"/>
              </w:rPr>
              <w:t>Степикіна</w:t>
            </w:r>
            <w:proofErr w:type="spellEnd"/>
          </w:p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</w:tc>
      </w:tr>
      <w:tr w:rsidR="00205D1C" w:rsidRPr="00205D1C" w:rsidTr="0007779C">
        <w:trPr>
          <w:trHeight w:val="538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A34DDE" w:rsidRDefault="00205D1C" w:rsidP="00A34DDE">
            <w:pPr>
              <w:jc w:val="center"/>
            </w:pPr>
            <w:r w:rsidRPr="00205D1C">
              <w:rPr>
                <w:lang w:val="uk-UA"/>
              </w:rPr>
              <w:lastRenderedPageBreak/>
              <w:t>ВСЬОГО 2: </w:t>
            </w:r>
            <w:r w:rsidR="00A34DDE">
              <w:t>35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1C" w:rsidRPr="00205D1C" w:rsidRDefault="00205D1C" w:rsidP="00205D1C">
            <w:pPr>
              <w:jc w:val="center"/>
              <w:rPr>
                <w:lang w:val="uk-UA"/>
              </w:rPr>
            </w:pPr>
          </w:p>
        </w:tc>
      </w:tr>
    </w:tbl>
    <w:p w:rsidR="00DB6B78" w:rsidRPr="00A02C1E" w:rsidRDefault="00DB6B78" w:rsidP="00536EDB">
      <w:pPr>
        <w:rPr>
          <w:lang w:val="uk-UA"/>
        </w:rPr>
      </w:pPr>
      <w:bookmarkStart w:id="0" w:name="_GoBack"/>
      <w:bookmarkEnd w:id="0"/>
    </w:p>
    <w:sectPr w:rsidR="00DB6B78" w:rsidRPr="00A02C1E">
      <w:headerReference w:type="default" r:id="rId8"/>
      <w:footerReference w:type="default" r:id="rId9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42" w:rsidRDefault="00AA2A42" w:rsidP="00205D1C">
      <w:pPr>
        <w:spacing w:after="0" w:line="240" w:lineRule="auto"/>
      </w:pPr>
      <w:r>
        <w:separator/>
      </w:r>
    </w:p>
  </w:endnote>
  <w:endnote w:type="continuationSeparator" w:id="0">
    <w:p w:rsidR="00AA2A42" w:rsidRDefault="00AA2A42" w:rsidP="0020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0" w:rsidRPr="00205D1C" w:rsidRDefault="007B6290" w:rsidP="00205D1C">
    <w:pPr>
      <w:pStyle w:val="Footer"/>
      <w:jc w:val="center"/>
      <w:rPr>
        <w:color w:val="1F4E79" w:themeColor="accent1" w:themeShade="80"/>
        <w:lang w:val="uk-UA"/>
      </w:rPr>
    </w:pPr>
    <w:r w:rsidRPr="00205D1C">
      <w:rPr>
        <w:color w:val="1F4E79" w:themeColor="accent1" w:themeShade="80"/>
        <w:lang w:val="uk-UA"/>
      </w:rPr>
      <w:t>За підтримки</w:t>
    </w:r>
  </w:p>
  <w:p w:rsidR="007B6290" w:rsidRPr="00205D1C" w:rsidRDefault="007B6290" w:rsidP="00205D1C">
    <w:pPr>
      <w:pStyle w:val="Footer"/>
      <w:jc w:val="center"/>
      <w:rPr>
        <w:lang w:val="uk-UA"/>
      </w:rPr>
    </w:pPr>
    <w:r w:rsidRPr="00DB2DE6">
      <w:rPr>
        <w:noProof/>
      </w:rPr>
      <w:drawing>
        <wp:inline distT="0" distB="0" distL="0" distR="0">
          <wp:extent cx="2840400" cy="792000"/>
          <wp:effectExtent l="0" t="0" r="0" b="8255"/>
          <wp:docPr id="2" name="Picture 2" descr="C:\Users\Olena\Desktop\ICLA\Nov28-2017\UKR-UNHCR-visibility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na\Desktop\ICLA\Nov28-2017\UKR-UNHCR-visibility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290" w:rsidRDefault="007B6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42" w:rsidRDefault="00AA2A42" w:rsidP="00205D1C">
      <w:pPr>
        <w:spacing w:after="0" w:line="240" w:lineRule="auto"/>
      </w:pPr>
      <w:r>
        <w:separator/>
      </w:r>
    </w:p>
  </w:footnote>
  <w:footnote w:type="continuationSeparator" w:id="0">
    <w:p w:rsidR="00AA2A42" w:rsidRDefault="00AA2A42" w:rsidP="0020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0" w:rsidRDefault="007B6290" w:rsidP="00453E92">
    <w:pPr>
      <w:pStyle w:val="Header"/>
      <w:jc w:val="center"/>
    </w:pPr>
    <w:r w:rsidRPr="007B6EF0">
      <w:rPr>
        <w:rFonts w:ascii="Franklin Gothic Book" w:eastAsia="Times New Roman" w:hAnsi="Franklin Gothic Book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0761C4" wp14:editId="493E772A">
          <wp:simplePos x="0" y="0"/>
          <wp:positionH relativeFrom="margin">
            <wp:align>center</wp:align>
          </wp:positionH>
          <wp:positionV relativeFrom="paragraph">
            <wp:posOffset>31115</wp:posOffset>
          </wp:positionV>
          <wp:extent cx="1258645" cy="1114425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290" w:rsidRDefault="007B6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7B2"/>
    <w:multiLevelType w:val="hybridMultilevel"/>
    <w:tmpl w:val="0FDE21BE"/>
    <w:lvl w:ilvl="0" w:tplc="D630AEDE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CBF"/>
    <w:multiLevelType w:val="hybridMultilevel"/>
    <w:tmpl w:val="629A2192"/>
    <w:lvl w:ilvl="0" w:tplc="F2065028">
      <w:start w:val="9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6CC3"/>
    <w:multiLevelType w:val="hybridMultilevel"/>
    <w:tmpl w:val="9B70A0DE"/>
    <w:lvl w:ilvl="0" w:tplc="F0BE65F4">
      <w:start w:val="39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C6222"/>
    <w:multiLevelType w:val="multilevel"/>
    <w:tmpl w:val="13B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2"/>
    <w:rsid w:val="000652F9"/>
    <w:rsid w:val="0007779C"/>
    <w:rsid w:val="0008628F"/>
    <w:rsid w:val="000B053C"/>
    <w:rsid w:val="000C5F54"/>
    <w:rsid w:val="00112DD4"/>
    <w:rsid w:val="0012689F"/>
    <w:rsid w:val="00142829"/>
    <w:rsid w:val="00151EF0"/>
    <w:rsid w:val="001D292D"/>
    <w:rsid w:val="00205D1C"/>
    <w:rsid w:val="0023338A"/>
    <w:rsid w:val="0035165E"/>
    <w:rsid w:val="00383C64"/>
    <w:rsid w:val="003901E2"/>
    <w:rsid w:val="003F18B1"/>
    <w:rsid w:val="00424448"/>
    <w:rsid w:val="00447692"/>
    <w:rsid w:val="00453E92"/>
    <w:rsid w:val="00463ECA"/>
    <w:rsid w:val="005144CD"/>
    <w:rsid w:val="00524A41"/>
    <w:rsid w:val="00530E29"/>
    <w:rsid w:val="00536EDB"/>
    <w:rsid w:val="005B5AD8"/>
    <w:rsid w:val="0060038D"/>
    <w:rsid w:val="00660DAE"/>
    <w:rsid w:val="007B6290"/>
    <w:rsid w:val="007B6EF0"/>
    <w:rsid w:val="007E33C2"/>
    <w:rsid w:val="00807800"/>
    <w:rsid w:val="00867298"/>
    <w:rsid w:val="008F2A1E"/>
    <w:rsid w:val="008F4DCE"/>
    <w:rsid w:val="008F5646"/>
    <w:rsid w:val="00953E1F"/>
    <w:rsid w:val="00982AAA"/>
    <w:rsid w:val="009A4DC7"/>
    <w:rsid w:val="009C5E5D"/>
    <w:rsid w:val="00A02C1E"/>
    <w:rsid w:val="00A15351"/>
    <w:rsid w:val="00A34DDE"/>
    <w:rsid w:val="00A40AAB"/>
    <w:rsid w:val="00A971B5"/>
    <w:rsid w:val="00AA2A42"/>
    <w:rsid w:val="00AD7EAD"/>
    <w:rsid w:val="00AE3DB3"/>
    <w:rsid w:val="00AF123D"/>
    <w:rsid w:val="00B3230A"/>
    <w:rsid w:val="00B34F12"/>
    <w:rsid w:val="00B42912"/>
    <w:rsid w:val="00B877E2"/>
    <w:rsid w:val="00BC3118"/>
    <w:rsid w:val="00BC47CB"/>
    <w:rsid w:val="00C5633F"/>
    <w:rsid w:val="00C87025"/>
    <w:rsid w:val="00CE491C"/>
    <w:rsid w:val="00DA32CD"/>
    <w:rsid w:val="00DB2DE6"/>
    <w:rsid w:val="00DB6B78"/>
    <w:rsid w:val="00DC2DBB"/>
    <w:rsid w:val="00DC2FA6"/>
    <w:rsid w:val="00E828B9"/>
    <w:rsid w:val="00EB4FDE"/>
    <w:rsid w:val="00F50914"/>
    <w:rsid w:val="00F93688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633D3-DAA1-4368-90F4-B622445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1C"/>
  </w:style>
  <w:style w:type="paragraph" w:styleId="Footer">
    <w:name w:val="footer"/>
    <w:basedOn w:val="Normal"/>
    <w:link w:val="FooterChar"/>
    <w:uiPriority w:val="99"/>
    <w:unhideWhenUsed/>
    <w:rsid w:val="00205D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1C"/>
  </w:style>
  <w:style w:type="character" w:styleId="CommentReference">
    <w:name w:val="annotation reference"/>
    <w:basedOn w:val="DefaultParagraphFont"/>
    <w:uiPriority w:val="99"/>
    <w:semiHidden/>
    <w:unhideWhenUsed/>
    <w:rsid w:val="00982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A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F12"/>
    <w:pPr>
      <w:ind w:left="720"/>
      <w:contextualSpacing/>
    </w:pPr>
  </w:style>
  <w:style w:type="table" w:styleId="TableGrid">
    <w:name w:val="Table Grid"/>
    <w:basedOn w:val="TableNormal"/>
    <w:uiPriority w:val="39"/>
    <w:rsid w:val="00F936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6B90EF5-5F07-4F1C-81C0-6D873C7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Borisenko</dc:creator>
  <cp:keywords/>
  <dc:description/>
  <cp:lastModifiedBy>Nadiia Sf</cp:lastModifiedBy>
  <cp:revision>2</cp:revision>
  <dcterms:created xsi:type="dcterms:W3CDTF">2017-11-23T07:25:00Z</dcterms:created>
  <dcterms:modified xsi:type="dcterms:W3CDTF">2017-11-23T07:25:00Z</dcterms:modified>
</cp:coreProperties>
</file>